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DBB38" w14:textId="52795344" w:rsidR="001366E9" w:rsidRDefault="00384208" w:rsidP="001366E9">
      <w:pPr>
        <w:pStyle w:val="CRCoverPage"/>
        <w:tabs>
          <w:tab w:val="right" w:pos="9639"/>
        </w:tabs>
        <w:spacing w:after="0"/>
        <w:rPr>
          <w:b/>
          <w:i/>
          <w:noProof/>
          <w:sz w:val="28"/>
        </w:rPr>
      </w:pPr>
      <w:bookmarkStart w:id="0" w:name="_Ref462675860"/>
      <w:bookmarkStart w:id="1" w:name="_Ref465963108"/>
      <w:r>
        <w:rPr>
          <w:b/>
          <w:noProof/>
          <w:sz w:val="24"/>
        </w:rPr>
        <w:t>3GPP TSG-</w:t>
      </w:r>
      <w:r>
        <w:fldChar w:fldCharType="begin"/>
      </w:r>
      <w:r>
        <w:instrText>DOCPROPERTY  TSG/WGRef  \* MERGEFORMAT</w:instrText>
      </w:r>
      <w:r>
        <w:fldChar w:fldCharType="separate"/>
      </w:r>
      <w:r>
        <w:rPr>
          <w:b/>
          <w:noProof/>
          <w:sz w:val="24"/>
        </w:rPr>
        <w:t>RAN4</w:t>
      </w:r>
      <w:r>
        <w:rPr>
          <w:b/>
          <w:sz w:val="24"/>
        </w:rPr>
        <w:fldChar w:fldCharType="end"/>
      </w:r>
      <w:r>
        <w:rPr>
          <w:b/>
          <w:noProof/>
          <w:sz w:val="24"/>
        </w:rPr>
        <w:t xml:space="preserve"> Meeting #</w:t>
      </w:r>
      <w:r w:rsidRPr="00E03989">
        <w:rPr>
          <w:b/>
          <w:noProof/>
          <w:sz w:val="24"/>
        </w:rPr>
        <w:t>11</w:t>
      </w:r>
      <w:r>
        <w:rPr>
          <w:b/>
          <w:noProof/>
          <w:sz w:val="24"/>
        </w:rPr>
        <w:t>8</w:t>
      </w:r>
      <w:fldSimple w:instr="DOCPROPERTY  MtgTitle  \* MERGEFORMAT"/>
      <w:r w:rsidR="001366E9">
        <w:rPr>
          <w:b/>
          <w:i/>
          <w:noProof/>
          <w:sz w:val="28"/>
        </w:rPr>
        <w:tab/>
      </w:r>
      <w:r w:rsidR="00DF5614" w:rsidRPr="00DF5614">
        <w:rPr>
          <w:b/>
          <w:bCs/>
          <w:sz w:val="28"/>
          <w:lang w:val="en-US"/>
        </w:rPr>
        <w:t>R4-2601611</w:t>
      </w:r>
      <w:r w:rsidR="001366E9" w:rsidRPr="00EA4898" w:rsidDel="00EA4898">
        <w:rPr>
          <w:b/>
          <w:i/>
          <w:iCs/>
          <w:noProof/>
          <w:sz w:val="28"/>
          <w:lang w:val="en-US"/>
        </w:rPr>
        <w:t xml:space="preserve"> </w:t>
      </w:r>
    </w:p>
    <w:p w14:paraId="6B034FEA" w14:textId="53927D60" w:rsidR="00516D11" w:rsidRPr="0012718A" w:rsidRDefault="0029257F" w:rsidP="001366E9">
      <w:pPr>
        <w:pStyle w:val="Header"/>
        <w:tabs>
          <w:tab w:val="right" w:pos="9781"/>
          <w:tab w:val="right" w:pos="13323"/>
        </w:tabs>
        <w:spacing w:before="60" w:after="60"/>
        <w:outlineLvl w:val="0"/>
        <w:rPr>
          <w:rFonts w:cs="Arial"/>
          <w:b w:val="0"/>
          <w:sz w:val="24"/>
          <w:szCs w:val="24"/>
          <w:lang w:eastAsia="zh-CN"/>
        </w:rPr>
      </w:pPr>
      <w:r w:rsidRPr="00373C1D">
        <w:rPr>
          <w:sz w:val="24"/>
        </w:rPr>
        <w:t>Gothenburg, Sweden, Feb. 09-13, 2026</w:t>
      </w:r>
      <w:r w:rsidR="00516D11">
        <w:rPr>
          <w:rFonts w:cs="Arial"/>
          <w:sz w:val="24"/>
        </w:rPr>
        <w:br/>
      </w:r>
    </w:p>
    <w:p w14:paraId="791DA543" w14:textId="490BFDBF"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D944EC">
        <w:rPr>
          <w:rFonts w:ascii="Arial" w:hAnsi="Arial" w:cs="Arial"/>
          <w:b/>
        </w:rPr>
        <w:t xml:space="preserve">SBFD-to-SBFD coexistence </w:t>
      </w:r>
      <w:r w:rsidR="00157233">
        <w:rPr>
          <w:rFonts w:ascii="Arial" w:hAnsi="Arial" w:cs="Arial"/>
          <w:b/>
        </w:rPr>
        <w:t xml:space="preserve"> </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098A21F9"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E86C76">
        <w:rPr>
          <w:rFonts w:ascii="Arial" w:hAnsi="Arial" w:cs="Arial"/>
          <w:b/>
        </w:rPr>
        <w:t>7.</w:t>
      </w:r>
      <w:r w:rsidR="00E23450">
        <w:rPr>
          <w:rFonts w:ascii="Arial" w:hAnsi="Arial" w:cs="Arial"/>
          <w:b/>
        </w:rPr>
        <w:t>2</w:t>
      </w:r>
      <w:r w:rsidR="00E86C76">
        <w:rPr>
          <w:rFonts w:ascii="Arial" w:hAnsi="Arial" w:cs="Arial"/>
          <w:b/>
        </w:rPr>
        <w:t>.</w:t>
      </w:r>
      <w:r w:rsidR="00E23450">
        <w:rPr>
          <w:rFonts w:ascii="Arial" w:hAnsi="Arial" w:cs="Arial"/>
          <w:b/>
        </w:rPr>
        <w:t>4</w:t>
      </w:r>
    </w:p>
    <w:p w14:paraId="40009091" w14:textId="77777777"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57A32C14" w14:textId="77777777" w:rsidR="00A37CEF" w:rsidRPr="00785E35" w:rsidRDefault="00A37CEF" w:rsidP="0003651D">
      <w:pPr>
        <w:pStyle w:val="Heading1"/>
        <w:jc w:val="both"/>
      </w:pPr>
      <w:r w:rsidRPr="00785E35">
        <w:t>Introduction</w:t>
      </w:r>
      <w:bookmarkEnd w:id="0"/>
      <w:bookmarkEnd w:id="1"/>
    </w:p>
    <w:p w14:paraId="0E42DD81" w14:textId="6FA98F3F" w:rsidR="008C3AD3" w:rsidRDefault="005562AB" w:rsidP="005562AB">
      <w:pPr>
        <w:overflowPunct/>
        <w:autoSpaceDE/>
        <w:autoSpaceDN/>
        <w:adjustRightInd/>
        <w:spacing w:after="120"/>
        <w:ind w:hanging="22"/>
        <w:jc w:val="both"/>
        <w:textAlignment w:val="auto"/>
        <w:rPr>
          <w:lang w:eastAsia="zh-CN"/>
        </w:rPr>
      </w:pPr>
      <w:r w:rsidRPr="00FC169B">
        <w:rPr>
          <w:lang w:eastAsia="zh-CN"/>
        </w:rPr>
        <w:t xml:space="preserve">Following the </w:t>
      </w:r>
      <w:r w:rsidR="00E86C76">
        <w:rPr>
          <w:lang w:eastAsia="zh-CN"/>
        </w:rPr>
        <w:t xml:space="preserve">Rel20 </w:t>
      </w:r>
      <w:r w:rsidR="00377B33">
        <w:rPr>
          <w:lang w:eastAsia="zh-CN"/>
        </w:rPr>
        <w:t xml:space="preserve">BS </w:t>
      </w:r>
      <w:r w:rsidR="00E86C76">
        <w:rPr>
          <w:lang w:eastAsia="zh-CN"/>
        </w:rPr>
        <w:t>RF enhancement WI</w:t>
      </w:r>
      <w:r w:rsidRPr="00FC169B">
        <w:rPr>
          <w:lang w:eastAsia="zh-CN"/>
        </w:rPr>
        <w:t xml:space="preserve"> [1] approved in RAN#10</w:t>
      </w:r>
      <w:r w:rsidR="00055E51">
        <w:rPr>
          <w:lang w:eastAsia="zh-CN"/>
        </w:rPr>
        <w:t>9</w:t>
      </w:r>
      <w:r w:rsidRPr="00FC169B">
        <w:rPr>
          <w:lang w:eastAsia="zh-CN"/>
        </w:rPr>
        <w:t xml:space="preserve">, </w:t>
      </w:r>
      <w:r w:rsidR="00C22636">
        <w:rPr>
          <w:lang w:eastAsia="zh-CN"/>
        </w:rPr>
        <w:t xml:space="preserve">we have the following </w:t>
      </w:r>
      <w:r w:rsidR="008C3AD3">
        <w:rPr>
          <w:lang w:eastAsia="zh-CN"/>
        </w:rPr>
        <w:t xml:space="preserve">objective regarding </w:t>
      </w:r>
      <w:r w:rsidR="00844A23">
        <w:rPr>
          <w:lang w:eastAsia="zh-CN"/>
        </w:rPr>
        <w:t>SBFD-capable BS to SBFD-capable BS in the adjacent channel</w:t>
      </w:r>
      <w:r w:rsidR="008C3AD3">
        <w:rPr>
          <w:lang w:eastAsia="zh-CN"/>
        </w:rPr>
        <w:t>:</w:t>
      </w:r>
    </w:p>
    <w:tbl>
      <w:tblPr>
        <w:tblStyle w:val="TableGrid"/>
        <w:tblW w:w="0" w:type="auto"/>
        <w:tblLook w:val="04A0" w:firstRow="1" w:lastRow="0" w:firstColumn="1" w:lastColumn="0" w:noHBand="0" w:noVBand="1"/>
      </w:tblPr>
      <w:tblGrid>
        <w:gridCol w:w="9962"/>
      </w:tblGrid>
      <w:tr w:rsidR="008C3AD3" w14:paraId="704D6F68" w14:textId="77777777" w:rsidTr="008C3AD3">
        <w:tc>
          <w:tcPr>
            <w:tcW w:w="9962" w:type="dxa"/>
          </w:tcPr>
          <w:p w14:paraId="56532ECC" w14:textId="77777777" w:rsidR="00672287" w:rsidRPr="00672287" w:rsidRDefault="00672287" w:rsidP="00672287">
            <w:pPr>
              <w:spacing w:before="0"/>
              <w:rPr>
                <w:b/>
              </w:rPr>
            </w:pPr>
            <w:r w:rsidRPr="00672287">
              <w:rPr>
                <w:b/>
              </w:rPr>
              <w:t>SBFD BS to SBFD BS adjacent channel co-existence</w:t>
            </w:r>
          </w:p>
          <w:p w14:paraId="5037320F" w14:textId="77777777" w:rsidR="00672287" w:rsidRPr="00672287" w:rsidRDefault="00672287" w:rsidP="00672287">
            <w:pPr>
              <w:pStyle w:val="ListParagraph"/>
              <w:numPr>
                <w:ilvl w:val="0"/>
                <w:numId w:val="42"/>
              </w:numPr>
              <w:overflowPunct w:val="0"/>
              <w:autoSpaceDE w:val="0"/>
              <w:autoSpaceDN w:val="0"/>
              <w:adjustRightInd w:val="0"/>
              <w:spacing w:before="0"/>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SBFD BS to SBFD BS adjacent channel coexistence</w:t>
            </w:r>
          </w:p>
          <w:p w14:paraId="70883D24" w14:textId="77777777" w:rsidR="00672287" w:rsidRPr="00672287" w:rsidRDefault="00672287" w:rsidP="00672287">
            <w:pPr>
              <w:pStyle w:val="ListParagraph"/>
              <w:numPr>
                <w:ilvl w:val="1"/>
                <w:numId w:val="42"/>
              </w:numPr>
              <w:overflowPunct w:val="0"/>
              <w:autoSpaceDE w:val="0"/>
              <w:autoSpaceDN w:val="0"/>
              <w:adjustRightInd w:val="0"/>
              <w:spacing w:before="0"/>
              <w:ind w:left="993"/>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 xml:space="preserve">Focus on FR1 WA. </w:t>
            </w:r>
          </w:p>
          <w:p w14:paraId="359E8A29" w14:textId="77777777" w:rsidR="00672287" w:rsidRPr="00672287" w:rsidRDefault="00672287" w:rsidP="00672287">
            <w:pPr>
              <w:pStyle w:val="ListParagraph"/>
              <w:numPr>
                <w:ilvl w:val="1"/>
                <w:numId w:val="42"/>
              </w:numPr>
              <w:overflowPunct w:val="0"/>
              <w:autoSpaceDE w:val="0"/>
              <w:autoSpaceDN w:val="0"/>
              <w:adjustRightInd w:val="0"/>
              <w:spacing w:before="0"/>
              <w:ind w:left="993"/>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Consider both scenarios including SBFD capable BS being co-located and non-collocated.</w:t>
            </w:r>
          </w:p>
          <w:p w14:paraId="1E2718F2" w14:textId="77777777" w:rsidR="00672287" w:rsidRPr="00672287" w:rsidRDefault="00672287" w:rsidP="00672287">
            <w:pPr>
              <w:pStyle w:val="ListParagraph"/>
              <w:numPr>
                <w:ilvl w:val="1"/>
                <w:numId w:val="42"/>
              </w:numPr>
              <w:overflowPunct w:val="0"/>
              <w:autoSpaceDE w:val="0"/>
              <w:autoSpaceDN w:val="0"/>
              <w:adjustRightInd w:val="0"/>
              <w:spacing w:before="0"/>
              <w:ind w:left="993"/>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 xml:space="preserve">Focus on bands: n104, n79, n41. </w:t>
            </w:r>
          </w:p>
          <w:p w14:paraId="5CF4AB6B" w14:textId="77777777" w:rsidR="00672287" w:rsidRPr="00672287" w:rsidRDefault="00672287" w:rsidP="00672287">
            <w:pPr>
              <w:pStyle w:val="ListParagraph"/>
              <w:numPr>
                <w:ilvl w:val="1"/>
                <w:numId w:val="42"/>
              </w:numPr>
              <w:overflowPunct w:val="0"/>
              <w:autoSpaceDE w:val="0"/>
              <w:autoSpaceDN w:val="0"/>
              <w:adjustRightInd w:val="0"/>
              <w:spacing w:before="0"/>
              <w:ind w:left="993"/>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Specify necessary (and if feasible) BS TX and RX RF requirement for SBFD-capable BS for the scenarios of SBFD BS to SBFD BS adjacent channel coexistence. The BS RF requirements include</w:t>
            </w:r>
          </w:p>
          <w:p w14:paraId="316107DB" w14:textId="77777777" w:rsidR="00672287" w:rsidRPr="00672287" w:rsidRDefault="00672287" w:rsidP="00672287">
            <w:pPr>
              <w:pStyle w:val="ListParagraph"/>
              <w:numPr>
                <w:ilvl w:val="2"/>
                <w:numId w:val="42"/>
              </w:numPr>
              <w:overflowPunct w:val="0"/>
              <w:autoSpaceDE w:val="0"/>
              <w:autoSpaceDN w:val="0"/>
              <w:adjustRightInd w:val="0"/>
              <w:spacing w:before="0"/>
              <w:ind w:left="1418"/>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TX unwanted emission</w:t>
            </w:r>
          </w:p>
          <w:p w14:paraId="72772A2E" w14:textId="77777777" w:rsidR="00672287" w:rsidRPr="00672287" w:rsidRDefault="00672287" w:rsidP="00672287">
            <w:pPr>
              <w:pStyle w:val="ListParagraph"/>
              <w:numPr>
                <w:ilvl w:val="2"/>
                <w:numId w:val="42"/>
              </w:numPr>
              <w:overflowPunct w:val="0"/>
              <w:autoSpaceDE w:val="0"/>
              <w:autoSpaceDN w:val="0"/>
              <w:adjustRightInd w:val="0"/>
              <w:spacing w:before="0"/>
              <w:ind w:left="1418"/>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RX in-band blocking</w:t>
            </w:r>
          </w:p>
          <w:p w14:paraId="609A2DCE" w14:textId="77777777" w:rsidR="00672287" w:rsidRPr="00672287" w:rsidRDefault="00672287" w:rsidP="00672287">
            <w:pPr>
              <w:pStyle w:val="ListParagraph"/>
              <w:numPr>
                <w:ilvl w:val="1"/>
                <w:numId w:val="42"/>
              </w:numPr>
              <w:overflowPunct w:val="0"/>
              <w:autoSpaceDE w:val="0"/>
              <w:autoSpaceDN w:val="0"/>
              <w:adjustRightInd w:val="0"/>
              <w:spacing w:before="0"/>
              <w:ind w:left="993"/>
              <w:textAlignment w:val="baseline"/>
              <w:rPr>
                <w:rFonts w:ascii="Times New Roman" w:hAnsi="Times New Roman"/>
                <w:color w:val="000000" w:themeColor="text1"/>
                <w:sz w:val="20"/>
                <w:szCs w:val="20"/>
              </w:rPr>
            </w:pPr>
            <w:r w:rsidRPr="00672287">
              <w:rPr>
                <w:rFonts w:ascii="Times New Roman" w:hAnsi="Times New Roman"/>
                <w:color w:val="000000" w:themeColor="text1"/>
                <w:sz w:val="20"/>
                <w:szCs w:val="20"/>
              </w:rPr>
              <w:t>Note 1: whether to comply with requirements is declared by BS.</w:t>
            </w:r>
          </w:p>
          <w:p w14:paraId="0B7A5CF9" w14:textId="11FF692A" w:rsidR="008C3AD3" w:rsidRPr="00672287" w:rsidRDefault="00672287" w:rsidP="00672287">
            <w:pPr>
              <w:pStyle w:val="ListParagraph"/>
              <w:numPr>
                <w:ilvl w:val="1"/>
                <w:numId w:val="42"/>
              </w:numPr>
              <w:overflowPunct w:val="0"/>
              <w:autoSpaceDE w:val="0"/>
              <w:autoSpaceDN w:val="0"/>
              <w:adjustRightInd w:val="0"/>
              <w:spacing w:before="0" w:after="180"/>
              <w:ind w:left="998" w:hanging="442"/>
              <w:textAlignment w:val="baseline"/>
              <w:rPr>
                <w:color w:val="000000" w:themeColor="text1"/>
              </w:rPr>
            </w:pPr>
            <w:r w:rsidRPr="00672287">
              <w:rPr>
                <w:rFonts w:ascii="Times New Roman" w:hAnsi="Times New Roman"/>
                <w:color w:val="000000" w:themeColor="text1"/>
                <w:sz w:val="20"/>
                <w:szCs w:val="20"/>
              </w:rPr>
              <w:t>Note 2: The existing TDD requirements apply for non-SBFD BSs</w:t>
            </w:r>
          </w:p>
        </w:tc>
      </w:tr>
    </w:tbl>
    <w:p w14:paraId="2D161FEE" w14:textId="77777777" w:rsidR="008C3AD3" w:rsidRDefault="008C3AD3" w:rsidP="005562AB">
      <w:pPr>
        <w:overflowPunct/>
        <w:autoSpaceDE/>
        <w:autoSpaceDN/>
        <w:adjustRightInd/>
        <w:spacing w:after="120"/>
        <w:ind w:hanging="22"/>
        <w:jc w:val="both"/>
        <w:textAlignment w:val="auto"/>
        <w:rPr>
          <w:lang w:eastAsia="zh-CN"/>
        </w:rPr>
      </w:pPr>
    </w:p>
    <w:p w14:paraId="61F3E012" w14:textId="58BA804F" w:rsidR="003B2C46" w:rsidRDefault="00523F34" w:rsidP="005562AB">
      <w:pPr>
        <w:overflowPunct/>
        <w:autoSpaceDE/>
        <w:autoSpaceDN/>
        <w:adjustRightInd/>
        <w:spacing w:after="120"/>
        <w:ind w:hanging="22"/>
        <w:jc w:val="both"/>
        <w:textAlignment w:val="auto"/>
        <w:rPr>
          <w:lang w:eastAsia="zh-CN"/>
        </w:rPr>
      </w:pPr>
      <w:r>
        <w:rPr>
          <w:lang w:eastAsia="zh-CN"/>
        </w:rPr>
        <w:t>In RAN4</w:t>
      </w:r>
      <w:r w:rsidR="00431B7E">
        <w:rPr>
          <w:lang w:eastAsia="zh-CN"/>
        </w:rPr>
        <w:t>#117</w:t>
      </w:r>
      <w:r>
        <w:rPr>
          <w:lang w:eastAsia="zh-CN"/>
        </w:rPr>
        <w:t xml:space="preserve">, a WF </w:t>
      </w:r>
      <w:r w:rsidR="00D838FE">
        <w:rPr>
          <w:lang w:eastAsia="zh-CN"/>
        </w:rPr>
        <w:t xml:space="preserve">on the </w:t>
      </w:r>
      <w:r w:rsidR="00E34818">
        <w:rPr>
          <w:lang w:eastAsia="zh-CN"/>
        </w:rPr>
        <w:t xml:space="preserve">Rel20 BS RF </w:t>
      </w:r>
      <w:r w:rsidR="003B2C46">
        <w:rPr>
          <w:lang w:eastAsia="zh-CN"/>
        </w:rPr>
        <w:t>Phase 2 was approved, which entailed the below regarding SBFD-SBFD work:</w:t>
      </w:r>
    </w:p>
    <w:tbl>
      <w:tblPr>
        <w:tblStyle w:val="TableGrid"/>
        <w:tblW w:w="0" w:type="auto"/>
        <w:tblLook w:val="04A0" w:firstRow="1" w:lastRow="0" w:firstColumn="1" w:lastColumn="0" w:noHBand="0" w:noVBand="1"/>
      </w:tblPr>
      <w:tblGrid>
        <w:gridCol w:w="9962"/>
      </w:tblGrid>
      <w:tr w:rsidR="003B2C46" w14:paraId="010889A0" w14:textId="77777777" w:rsidTr="003B2C46">
        <w:tc>
          <w:tcPr>
            <w:tcW w:w="9962" w:type="dxa"/>
          </w:tcPr>
          <w:p w14:paraId="1FEBE3CD" w14:textId="77777777" w:rsidR="00544B1B" w:rsidRPr="00544B1B" w:rsidRDefault="00544B1B" w:rsidP="00544B1B">
            <w:pPr>
              <w:pStyle w:val="ListParagraph"/>
              <w:numPr>
                <w:ilvl w:val="0"/>
                <w:numId w:val="44"/>
              </w:numPr>
              <w:spacing w:after="180" w:line="360" w:lineRule="auto"/>
              <w:contextualSpacing/>
              <w:rPr>
                <w:rFonts w:ascii="Times New Roman" w:hAnsi="Times New Roman"/>
                <w:sz w:val="20"/>
                <w:szCs w:val="20"/>
              </w:rPr>
            </w:pPr>
            <w:r w:rsidRPr="00544B1B">
              <w:rPr>
                <w:rFonts w:ascii="Times New Roman" w:hAnsi="Times New Roman"/>
                <w:sz w:val="20"/>
                <w:szCs w:val="20"/>
              </w:rPr>
              <w:t>For co-existence evaluation consider following configurations:</w:t>
            </w:r>
          </w:p>
          <w:p w14:paraId="378EF754" w14:textId="77777777" w:rsidR="00544B1B" w:rsidRPr="00544B1B" w:rsidRDefault="00544B1B" w:rsidP="00544B1B">
            <w:pPr>
              <w:pStyle w:val="ListParagraph"/>
              <w:numPr>
                <w:ilvl w:val="1"/>
                <w:numId w:val="44"/>
              </w:numPr>
              <w:spacing w:after="180" w:line="360" w:lineRule="auto"/>
              <w:contextualSpacing/>
              <w:rPr>
                <w:rFonts w:ascii="Times New Roman" w:hAnsi="Times New Roman"/>
                <w:sz w:val="20"/>
                <w:szCs w:val="20"/>
              </w:rPr>
            </w:pPr>
            <w:r w:rsidRPr="00544B1B">
              <w:rPr>
                <w:rFonts w:ascii="Times New Roman" w:hAnsi="Times New Roman"/>
                <w:sz w:val="20"/>
                <w:szCs w:val="20"/>
              </w:rPr>
              <w:t xml:space="preserve">UD (Operator 1) and DU (Operator 2) </w:t>
            </w:r>
          </w:p>
          <w:p w14:paraId="02B332C7" w14:textId="77777777" w:rsidR="00544B1B" w:rsidRPr="00544B1B" w:rsidRDefault="00544B1B" w:rsidP="00544B1B">
            <w:pPr>
              <w:pStyle w:val="ListParagraph"/>
              <w:numPr>
                <w:ilvl w:val="1"/>
                <w:numId w:val="44"/>
              </w:numPr>
              <w:spacing w:after="180" w:line="360" w:lineRule="auto"/>
              <w:contextualSpacing/>
              <w:rPr>
                <w:rFonts w:ascii="Times New Roman" w:hAnsi="Times New Roman"/>
                <w:sz w:val="20"/>
                <w:szCs w:val="20"/>
              </w:rPr>
            </w:pPr>
            <w:r w:rsidRPr="00544B1B">
              <w:rPr>
                <w:rFonts w:ascii="Times New Roman" w:hAnsi="Times New Roman"/>
                <w:sz w:val="20"/>
                <w:szCs w:val="20"/>
              </w:rPr>
              <w:t xml:space="preserve">DUD (Operator 1) and DUD (Operator 2). </w:t>
            </w:r>
          </w:p>
          <w:p w14:paraId="2FAFA6EE" w14:textId="77777777" w:rsidR="00544B1B" w:rsidRPr="00544B1B" w:rsidRDefault="00544B1B" w:rsidP="00544B1B">
            <w:pPr>
              <w:pStyle w:val="ListParagraph"/>
              <w:numPr>
                <w:ilvl w:val="0"/>
                <w:numId w:val="44"/>
              </w:numPr>
              <w:spacing w:after="180" w:line="360" w:lineRule="auto"/>
              <w:contextualSpacing/>
              <w:rPr>
                <w:rFonts w:ascii="Times New Roman" w:hAnsi="Times New Roman"/>
                <w:sz w:val="20"/>
                <w:szCs w:val="20"/>
              </w:rPr>
            </w:pPr>
            <w:r w:rsidRPr="00544B1B">
              <w:rPr>
                <w:rFonts w:ascii="Times New Roman" w:hAnsi="Times New Roman"/>
                <w:sz w:val="20"/>
                <w:szCs w:val="20"/>
              </w:rPr>
              <w:t>Companies are encouraged to indicate ACIR model assumption.</w:t>
            </w:r>
          </w:p>
          <w:p w14:paraId="1129860E" w14:textId="00E52650" w:rsidR="003B2C46" w:rsidRPr="00544B1B" w:rsidRDefault="00544B1B" w:rsidP="00544B1B">
            <w:pPr>
              <w:pStyle w:val="ListParagraph"/>
              <w:numPr>
                <w:ilvl w:val="0"/>
                <w:numId w:val="44"/>
              </w:numPr>
              <w:spacing w:after="120" w:line="360" w:lineRule="auto"/>
              <w:contextualSpacing/>
              <w:rPr>
                <w:rFonts w:eastAsia="SimSun"/>
                <w:szCs w:val="24"/>
              </w:rPr>
            </w:pPr>
            <w:r w:rsidRPr="00544B1B">
              <w:rPr>
                <w:rFonts w:ascii="Times New Roman" w:hAnsi="Times New Roman"/>
                <w:sz w:val="20"/>
                <w:szCs w:val="20"/>
              </w:rPr>
              <w:t>For co-existence evaluation adopt 100 MHz carrier bandwidth.</w:t>
            </w:r>
          </w:p>
        </w:tc>
      </w:tr>
    </w:tbl>
    <w:p w14:paraId="78078E7C" w14:textId="38F31EDD" w:rsidR="00523F34" w:rsidRDefault="00E34818" w:rsidP="005562AB">
      <w:pPr>
        <w:overflowPunct/>
        <w:autoSpaceDE/>
        <w:autoSpaceDN/>
        <w:adjustRightInd/>
        <w:spacing w:after="120"/>
        <w:ind w:hanging="22"/>
        <w:jc w:val="both"/>
        <w:textAlignment w:val="auto"/>
        <w:rPr>
          <w:lang w:eastAsia="zh-CN"/>
        </w:rPr>
      </w:pPr>
      <w:r>
        <w:rPr>
          <w:lang w:eastAsia="zh-CN"/>
        </w:rPr>
        <w:t xml:space="preserve"> </w:t>
      </w:r>
    </w:p>
    <w:p w14:paraId="6556B6C7" w14:textId="00848C50" w:rsidR="00A37CEF" w:rsidRPr="00575D77" w:rsidRDefault="008C3AD3" w:rsidP="005562AB">
      <w:pPr>
        <w:overflowPunct/>
        <w:autoSpaceDE/>
        <w:autoSpaceDN/>
        <w:adjustRightInd/>
        <w:spacing w:after="120"/>
        <w:ind w:hanging="22"/>
        <w:jc w:val="both"/>
        <w:textAlignment w:val="auto"/>
        <w:rPr>
          <w:lang w:eastAsia="zh-CN"/>
        </w:rPr>
      </w:pPr>
      <w:r>
        <w:rPr>
          <w:lang w:eastAsia="zh-CN"/>
        </w:rPr>
        <w:t xml:space="preserve">In this paper, </w:t>
      </w:r>
      <w:r w:rsidR="00055E51">
        <w:rPr>
          <w:lang w:eastAsia="zh-CN"/>
        </w:rPr>
        <w:t xml:space="preserve">we provide in this paper our </w:t>
      </w:r>
      <w:r w:rsidR="009D7F37">
        <w:rPr>
          <w:lang w:eastAsia="zh-CN"/>
        </w:rPr>
        <w:t xml:space="preserve">preliminary </w:t>
      </w:r>
      <w:r w:rsidR="00055E51">
        <w:rPr>
          <w:lang w:eastAsia="zh-CN"/>
        </w:rPr>
        <w:t xml:space="preserve">views on </w:t>
      </w:r>
      <w:r w:rsidR="00672287">
        <w:rPr>
          <w:lang w:eastAsia="zh-CN"/>
        </w:rPr>
        <w:t>SBFD</w:t>
      </w:r>
      <w:r w:rsidR="00F9267D">
        <w:rPr>
          <w:lang w:eastAsia="zh-CN"/>
        </w:rPr>
        <w:t xml:space="preserve"> BS SBFD coexistence aspects </w:t>
      </w:r>
      <w:r w:rsidR="009D7F37">
        <w:rPr>
          <w:lang w:eastAsia="zh-CN"/>
        </w:rPr>
        <w:t>envisioned in RAN4</w:t>
      </w:r>
      <w:r w:rsidR="007A0996">
        <w:rPr>
          <w:lang w:eastAsia="zh-CN"/>
        </w:rPr>
        <w:t xml:space="preserve"> during Release 20</w:t>
      </w:r>
      <w:r w:rsidR="00C22636">
        <w:rPr>
          <w:lang w:eastAsia="zh-CN"/>
        </w:rPr>
        <w:t xml:space="preserve">. </w:t>
      </w:r>
      <w:r w:rsidR="00EF49CD">
        <w:rPr>
          <w:lang w:eastAsia="zh-CN"/>
        </w:rPr>
        <w:t xml:space="preserve"> </w:t>
      </w:r>
    </w:p>
    <w:p w14:paraId="582FDA65" w14:textId="4E5F7316" w:rsidR="009E32FD" w:rsidRPr="00F9267D" w:rsidRDefault="003B2015" w:rsidP="009E32FD">
      <w:pPr>
        <w:pStyle w:val="Heading1"/>
        <w:jc w:val="both"/>
        <w:rPr>
          <w:lang w:val="de-DE" w:eastAsia="zh-CN"/>
        </w:rPr>
      </w:pPr>
      <w:bookmarkStart w:id="2" w:name="_Ref463027406"/>
      <w:bookmarkStart w:id="3" w:name="_Ref465963195"/>
      <w:bookmarkStart w:id="4" w:name="_Ref466040522"/>
      <w:bookmarkStart w:id="5" w:name="_Ref378529477"/>
      <w:bookmarkStart w:id="6" w:name="_Toc424303267"/>
      <w:bookmarkStart w:id="7" w:name="_Toc425248865"/>
      <w:bookmarkStart w:id="8" w:name="_Toc425344835"/>
      <w:bookmarkStart w:id="9" w:name="_Toc425350726"/>
      <w:bookmarkStart w:id="10" w:name="_Toc425501584"/>
      <w:bookmarkStart w:id="11" w:name="_Toc425504168"/>
      <w:bookmarkStart w:id="12" w:name="_Ref525738606"/>
      <w:bookmarkStart w:id="13" w:name="_Ref7626308"/>
      <w:bookmarkStart w:id="14" w:name="_Ref21100018"/>
      <w:r>
        <w:rPr>
          <w:lang w:val="de-DE" w:eastAsia="zh-CN"/>
        </w:rPr>
        <w:t xml:space="preserve">General </w:t>
      </w:r>
      <w:r w:rsidR="00130411">
        <w:rPr>
          <w:lang w:val="de-DE" w:eastAsia="zh-CN"/>
        </w:rPr>
        <w:t>discussion</w:t>
      </w:r>
      <w:bookmarkEnd w:id="2"/>
      <w:bookmarkEnd w:id="3"/>
      <w:bookmarkEnd w:id="4"/>
      <w:bookmarkEnd w:id="5"/>
      <w:bookmarkEnd w:id="6"/>
      <w:bookmarkEnd w:id="7"/>
      <w:bookmarkEnd w:id="8"/>
      <w:bookmarkEnd w:id="9"/>
      <w:bookmarkEnd w:id="10"/>
      <w:bookmarkEnd w:id="11"/>
      <w:bookmarkEnd w:id="12"/>
      <w:bookmarkEnd w:id="13"/>
      <w:bookmarkEnd w:id="14"/>
      <w:r w:rsidR="005B78B7">
        <w:rPr>
          <w:lang w:val="de-DE" w:eastAsia="zh-CN"/>
        </w:rPr>
        <w:t xml:space="preserve"> </w:t>
      </w:r>
    </w:p>
    <w:p w14:paraId="21EC4610" w14:textId="6EFB361F" w:rsidR="003D2D56" w:rsidRDefault="00A710B2" w:rsidP="009E32FD">
      <w:pPr>
        <w:rPr>
          <w:lang w:eastAsia="zh-CN"/>
        </w:rPr>
      </w:pPr>
      <w:r>
        <w:rPr>
          <w:lang w:eastAsia="zh-CN"/>
        </w:rPr>
        <w:t xml:space="preserve">During Rel-18 study item [2] and Rel-19 work item [3] on SBFD-capable BS requirements, the </w:t>
      </w:r>
      <w:r w:rsidR="00DC5A06">
        <w:rPr>
          <w:lang w:eastAsia="zh-CN"/>
        </w:rPr>
        <w:t>focus within RAN4 on specifying different Tx and Rx requirements for SBFD-capable BSs given with the assumption that the adjacent channel is a legacy TDD BS. That assumption stems from the fact that in already existing NR bands, deployment of SBFD necessitates ensuring protection and coexistence with the already deployed TDD BSs.</w:t>
      </w:r>
      <w:r w:rsidR="00986194">
        <w:rPr>
          <w:lang w:eastAsia="zh-CN"/>
        </w:rPr>
        <w:t xml:space="preserve"> </w:t>
      </w:r>
      <w:r w:rsidR="00980B71">
        <w:rPr>
          <w:lang w:eastAsia="zh-CN"/>
        </w:rPr>
        <w:t>For adjacent channel coexistence between TDD and SBFD-capable BS, it was discussed and captured in [2] that the ACIR enhancement is limited by the ACLR of TDD BS</w:t>
      </w:r>
      <w:r w:rsidR="00DF53AD">
        <w:rPr>
          <w:lang w:eastAsia="zh-CN"/>
        </w:rPr>
        <w:t xml:space="preserve">. Coexistence was shown to be feasible for 100% grid-shift assumption, which was the baseline assumption during Rel-18 and Rel-19 in RAN4. </w:t>
      </w:r>
    </w:p>
    <w:p w14:paraId="2F8068CF" w14:textId="2A0447F1" w:rsidR="00B70F08" w:rsidRDefault="00B70F08" w:rsidP="009E32FD">
      <w:pPr>
        <w:rPr>
          <w:b/>
          <w:bCs/>
          <w:lang w:eastAsia="zh-CN"/>
        </w:rPr>
      </w:pPr>
      <w:r w:rsidRPr="00D67517">
        <w:rPr>
          <w:b/>
          <w:bCs/>
          <w:u w:val="single"/>
          <w:lang w:eastAsia="zh-CN"/>
        </w:rPr>
        <w:lastRenderedPageBreak/>
        <w:t>Observation 1</w:t>
      </w:r>
      <w:r w:rsidRPr="00F83B0C">
        <w:rPr>
          <w:b/>
          <w:bCs/>
          <w:lang w:eastAsia="zh-CN"/>
        </w:rPr>
        <w:t xml:space="preserve">: Work in Rel-18 and Rel-19 considered TDD to SBFD adjacent channel </w:t>
      </w:r>
      <w:r w:rsidR="00DE2ABE" w:rsidRPr="00F83B0C">
        <w:rPr>
          <w:b/>
          <w:bCs/>
          <w:lang w:eastAsia="zh-CN"/>
        </w:rPr>
        <w:t>coexistence,</w:t>
      </w:r>
      <w:r w:rsidRPr="00F83B0C">
        <w:rPr>
          <w:b/>
          <w:bCs/>
          <w:lang w:eastAsia="zh-CN"/>
        </w:rPr>
        <w:t xml:space="preserve"> which is in general limited by legacy TDD BS requirements</w:t>
      </w:r>
      <w:r w:rsidR="00F83B0C" w:rsidRPr="00F83B0C">
        <w:rPr>
          <w:b/>
          <w:bCs/>
          <w:lang w:eastAsia="zh-CN"/>
        </w:rPr>
        <w:t xml:space="preserve">, especially regarding ACIR enhancements. </w:t>
      </w:r>
    </w:p>
    <w:p w14:paraId="5400EAC0" w14:textId="20B3944C" w:rsidR="00B066C5" w:rsidRDefault="00986194" w:rsidP="00FE2D58">
      <w:pPr>
        <w:rPr>
          <w:lang w:eastAsia="zh-CN"/>
        </w:rPr>
      </w:pPr>
      <w:r>
        <w:rPr>
          <w:lang w:eastAsia="zh-CN"/>
        </w:rPr>
        <w:t xml:space="preserve">In Rel-20 work item [2], the above objective is extended to account for cases of green-field spectrum deployments, where SBFD-capable BSs can be deployed with another SBFD-capable BS in the adjacent channel. Through such scope, RAN4 can </w:t>
      </w:r>
      <w:r w:rsidR="00B066C5">
        <w:rPr>
          <w:lang w:eastAsia="zh-CN"/>
        </w:rPr>
        <w:t>quantify</w:t>
      </w:r>
      <w:r>
        <w:rPr>
          <w:lang w:eastAsia="zh-CN"/>
        </w:rPr>
        <w:t xml:space="preserve"> what is the exact ACIR needed in order to meet the SBFD UL degradation (i.e., case 3 in [2]) target without any restriction on existing TDD deployments. </w:t>
      </w:r>
      <w:r w:rsidR="00FE2D58">
        <w:rPr>
          <w:lang w:eastAsia="zh-CN"/>
        </w:rPr>
        <w:t xml:space="preserve"> </w:t>
      </w:r>
    </w:p>
    <w:p w14:paraId="2FE3C4F2" w14:textId="4B29A386" w:rsidR="005079CE" w:rsidRPr="004B1550" w:rsidRDefault="00453B0F" w:rsidP="00453B0F">
      <w:pPr>
        <w:rPr>
          <w:lang w:eastAsia="zh-CN"/>
        </w:rPr>
      </w:pPr>
      <w:r>
        <w:rPr>
          <w:lang w:eastAsia="zh-CN"/>
        </w:rPr>
        <w:t>In order to have efficient discussions in Rel-20 work, it would be viable if RAN4 could agree on which Tx and Rx requirements would be determined via the adjacent channel coexistence work</w:t>
      </w:r>
      <w:r w:rsidR="009331CD">
        <w:rPr>
          <w:lang w:eastAsia="zh-CN"/>
        </w:rPr>
        <w:t xml:space="preserve"> and which ones might not need simulation work. By doing so, it would make a clear direction for RAN4 as well as make it </w:t>
      </w:r>
      <w:r w:rsidR="00F77496">
        <w:rPr>
          <w:lang w:eastAsia="zh-CN"/>
        </w:rPr>
        <w:t xml:space="preserve">have enough time to agree on </w:t>
      </w:r>
      <w:r w:rsidR="003153D4">
        <w:rPr>
          <w:lang w:eastAsia="zh-CN"/>
        </w:rPr>
        <w:t xml:space="preserve">controversial simulation parameters. </w:t>
      </w:r>
    </w:p>
    <w:p w14:paraId="0D096311" w14:textId="3AB7AB5B" w:rsidR="007D7377" w:rsidRDefault="003153D4" w:rsidP="009E32FD">
      <w:pPr>
        <w:rPr>
          <w:b/>
          <w:bCs/>
          <w:lang w:eastAsia="zh-CN"/>
        </w:rPr>
      </w:pPr>
      <w:r w:rsidRPr="00D67517">
        <w:rPr>
          <w:b/>
          <w:bCs/>
          <w:u w:val="single"/>
          <w:lang w:eastAsia="zh-CN"/>
        </w:rPr>
        <w:t xml:space="preserve">Proposal </w:t>
      </w:r>
      <w:r w:rsidR="004B1550">
        <w:rPr>
          <w:b/>
          <w:bCs/>
          <w:u w:val="single"/>
          <w:lang w:eastAsia="zh-CN"/>
        </w:rPr>
        <w:t>1</w:t>
      </w:r>
      <w:r w:rsidRPr="00D67517">
        <w:rPr>
          <w:b/>
          <w:bCs/>
          <w:lang w:eastAsia="zh-CN"/>
        </w:rPr>
        <w:t xml:space="preserve">: RAN4 to identify which Tx/Rx requirements will be studied via adjacent channel coexistence for the Rel-20 SBFD-to-SBFD </w:t>
      </w:r>
      <w:r w:rsidR="00D67517" w:rsidRPr="00D67517">
        <w:rPr>
          <w:b/>
          <w:bCs/>
          <w:lang w:eastAsia="zh-CN"/>
        </w:rPr>
        <w:t xml:space="preserve">coexistence. </w:t>
      </w:r>
    </w:p>
    <w:p w14:paraId="033E1C6B" w14:textId="77777777" w:rsidR="003B4209" w:rsidRDefault="003B4209" w:rsidP="009E32FD">
      <w:pPr>
        <w:rPr>
          <w:lang w:eastAsia="zh-CN"/>
        </w:rPr>
      </w:pPr>
      <w:r>
        <w:rPr>
          <w:lang w:eastAsia="zh-CN"/>
        </w:rPr>
        <w:t>In TR 38.858, RAN4 studied in Section 11 the two following cases when SBFD gNB is a victim:</w:t>
      </w:r>
    </w:p>
    <w:p w14:paraId="6AE4D661" w14:textId="5D315222" w:rsidR="001366E9" w:rsidRPr="00A570B8" w:rsidRDefault="003B4209" w:rsidP="003B4209">
      <w:pPr>
        <w:pStyle w:val="ListParagraph"/>
        <w:numPr>
          <w:ilvl w:val="0"/>
          <w:numId w:val="45"/>
        </w:numPr>
        <w:rPr>
          <w:rFonts w:ascii="Times New Roman" w:eastAsia="SimSun" w:hAnsi="Times New Roman"/>
          <w:sz w:val="20"/>
          <w:szCs w:val="20"/>
          <w:lang w:eastAsia="zh-CN"/>
        </w:rPr>
      </w:pPr>
      <w:r w:rsidRPr="00A570B8">
        <w:rPr>
          <w:rFonts w:ascii="Times New Roman" w:eastAsia="SimSun" w:hAnsi="Times New Roman"/>
          <w:sz w:val="20"/>
          <w:szCs w:val="20"/>
          <w:lang w:eastAsia="zh-CN"/>
        </w:rPr>
        <w:t>Case 3: considers SBFD as a victim while NR TDD is operating DL in the adjacent channel for both FR1 and FR2-1</w:t>
      </w:r>
    </w:p>
    <w:p w14:paraId="61E76602" w14:textId="12260A15" w:rsidR="003B4209" w:rsidRDefault="00F11B88" w:rsidP="003B4209">
      <w:pPr>
        <w:pStyle w:val="ListParagraph"/>
        <w:numPr>
          <w:ilvl w:val="0"/>
          <w:numId w:val="45"/>
        </w:numPr>
        <w:rPr>
          <w:rFonts w:ascii="Times New Roman" w:eastAsia="SimSun" w:hAnsi="Times New Roman"/>
          <w:sz w:val="20"/>
          <w:szCs w:val="20"/>
          <w:lang w:eastAsia="zh-CN"/>
        </w:rPr>
      </w:pPr>
      <w:r w:rsidRPr="00A570B8">
        <w:rPr>
          <w:rFonts w:ascii="Times New Roman" w:eastAsia="SimSun" w:hAnsi="Times New Roman"/>
          <w:sz w:val="20"/>
          <w:szCs w:val="20"/>
          <w:lang w:eastAsia="zh-CN"/>
        </w:rPr>
        <w:t xml:space="preserve">Case </w:t>
      </w:r>
      <w:r w:rsidRPr="00A570B8">
        <w:rPr>
          <w:rFonts w:ascii="Times New Roman" w:eastAsia="SimSun" w:hAnsi="Times New Roman" w:hint="eastAsia"/>
          <w:sz w:val="20"/>
          <w:szCs w:val="20"/>
          <w:lang w:eastAsia="zh-CN"/>
        </w:rPr>
        <w:t>4</w:t>
      </w:r>
      <w:r w:rsidRPr="00A570B8">
        <w:rPr>
          <w:rFonts w:ascii="Times New Roman" w:eastAsia="SimSun" w:hAnsi="Times New Roman"/>
          <w:sz w:val="20"/>
          <w:szCs w:val="20"/>
          <w:lang w:eastAsia="zh-CN"/>
        </w:rPr>
        <w:t xml:space="preserve">: considers </w:t>
      </w:r>
      <w:r w:rsidRPr="00A570B8">
        <w:rPr>
          <w:rFonts w:ascii="Times New Roman" w:eastAsia="SimSun" w:hAnsi="Times New Roman" w:hint="eastAsia"/>
          <w:sz w:val="20"/>
          <w:szCs w:val="20"/>
          <w:lang w:eastAsia="zh-CN"/>
        </w:rPr>
        <w:t xml:space="preserve">SBFD </w:t>
      </w:r>
      <w:r w:rsidRPr="00A570B8">
        <w:rPr>
          <w:rFonts w:ascii="Times New Roman" w:eastAsia="SimSun" w:hAnsi="Times New Roman"/>
          <w:sz w:val="20"/>
          <w:szCs w:val="20"/>
          <w:lang w:eastAsia="zh-CN"/>
        </w:rPr>
        <w:t xml:space="preserve">as a victim while </w:t>
      </w:r>
      <w:r w:rsidRPr="00A570B8">
        <w:rPr>
          <w:rFonts w:ascii="Times New Roman" w:eastAsia="SimSun" w:hAnsi="Times New Roman" w:hint="eastAsia"/>
          <w:sz w:val="20"/>
          <w:szCs w:val="20"/>
          <w:lang w:eastAsia="zh-CN"/>
        </w:rPr>
        <w:t>NR TDD</w:t>
      </w:r>
      <w:r w:rsidRPr="00A570B8">
        <w:rPr>
          <w:rFonts w:ascii="Times New Roman" w:eastAsia="SimSun" w:hAnsi="Times New Roman"/>
          <w:sz w:val="20"/>
          <w:szCs w:val="20"/>
          <w:lang w:eastAsia="zh-CN"/>
        </w:rPr>
        <w:t xml:space="preserve"> is operating </w:t>
      </w:r>
      <w:r w:rsidRPr="00A570B8">
        <w:rPr>
          <w:rFonts w:ascii="Times New Roman" w:eastAsia="SimSun" w:hAnsi="Times New Roman" w:hint="eastAsia"/>
          <w:sz w:val="20"/>
          <w:szCs w:val="20"/>
          <w:lang w:eastAsia="zh-CN"/>
        </w:rPr>
        <w:t xml:space="preserve">UL </w:t>
      </w:r>
      <w:r w:rsidRPr="00A570B8">
        <w:rPr>
          <w:rFonts w:ascii="Times New Roman" w:eastAsia="SimSun" w:hAnsi="Times New Roman"/>
          <w:sz w:val="20"/>
          <w:szCs w:val="20"/>
          <w:lang w:eastAsia="zh-CN"/>
        </w:rPr>
        <w:t>in the adjacent channel for both FR1 and FR2-1.</w:t>
      </w:r>
    </w:p>
    <w:p w14:paraId="7D9BAD8E" w14:textId="441DB35E" w:rsidR="002960AE" w:rsidRDefault="00ED52B0" w:rsidP="002960AE">
      <w:pPr>
        <w:rPr>
          <w:lang w:eastAsia="zh-CN"/>
        </w:rPr>
      </w:pPr>
      <w:r>
        <w:rPr>
          <w:lang w:eastAsia="zh-CN"/>
        </w:rPr>
        <w:t>Case 3 entailed both the case when SBFD DL subband and UL subband were victims. It is expected that RAN4 would consider case 3 as a starting point with the adjustment that the aggressor network would be an SBFD operat</w:t>
      </w:r>
      <w:r w:rsidR="00A33217">
        <w:rPr>
          <w:lang w:eastAsia="zh-CN"/>
        </w:rPr>
        <w:t xml:space="preserve">ion. </w:t>
      </w:r>
      <w:r w:rsidR="00C1488F">
        <w:rPr>
          <w:lang w:eastAsia="zh-CN"/>
        </w:rPr>
        <w:t>As a starting point, we showcase two scenarios, one where the victim is the SBFD DL subband and interference is an TDD network</w:t>
      </w:r>
      <w:r w:rsidR="00984EB9">
        <w:rPr>
          <w:lang w:eastAsia="zh-CN"/>
        </w:rPr>
        <w:t xml:space="preserve"> and the other is where the victim is the SBFD UL subband with the same interference (i.e., TDD network). </w:t>
      </w:r>
      <w:r w:rsidR="00487635">
        <w:rPr>
          <w:lang w:eastAsia="zh-CN"/>
        </w:rPr>
        <w:t xml:space="preserve">Our preliminary simulations consider Updated AAS parameters for 7GHz given in TR 38.922. It can be observed that for SBFD DL – SBFD coexistence, </w:t>
      </w:r>
      <w:r w:rsidR="007C1928">
        <w:rPr>
          <w:lang w:eastAsia="zh-CN"/>
        </w:rPr>
        <w:t xml:space="preserve">impact of interference will be lower compared to SBFD UL- SBFD coexistence. </w:t>
      </w:r>
      <w:r w:rsidR="00AD01AE">
        <w:rPr>
          <w:lang w:eastAsia="zh-CN"/>
        </w:rPr>
        <w:t xml:space="preserve">The </w:t>
      </w:r>
      <w:r w:rsidR="004508A2">
        <w:rPr>
          <w:lang w:eastAsia="zh-CN"/>
        </w:rPr>
        <w:t>degradation in</w:t>
      </w:r>
      <w:r w:rsidR="00AD01AE">
        <w:rPr>
          <w:lang w:eastAsia="zh-CN"/>
        </w:rPr>
        <w:t xml:space="preserve"> UL subband is due to the in</w:t>
      </w:r>
      <w:r w:rsidR="004508A2">
        <w:rPr>
          <w:lang w:eastAsia="zh-CN"/>
        </w:rPr>
        <w:t>t</w:t>
      </w:r>
      <w:r w:rsidR="00AD01AE">
        <w:rPr>
          <w:lang w:eastAsia="zh-CN"/>
        </w:rPr>
        <w:t xml:space="preserve">er-gNB CLI as well as the additional adjacent channel interference. </w:t>
      </w:r>
      <w:r w:rsidR="004508A2">
        <w:rPr>
          <w:lang w:eastAsia="zh-CN"/>
        </w:rPr>
        <w:t xml:space="preserve">Compared to the DL case, we can observe that the adjacent channel interference does not lead to additional DL degradation in the performance. Accordingly, </w:t>
      </w:r>
      <w:r w:rsidR="007C1928">
        <w:rPr>
          <w:lang w:eastAsia="zh-CN"/>
        </w:rPr>
        <w:t xml:space="preserve">RAN4 is expected to carry out adjacent channel coexistence considering </w:t>
      </w:r>
      <w:r w:rsidR="00512813">
        <w:rPr>
          <w:lang w:eastAsia="zh-CN"/>
        </w:rPr>
        <w:t xml:space="preserve">gNB ACLR and ACS enhancement to reach a target agreeable metric. </w:t>
      </w:r>
    </w:p>
    <w:p w14:paraId="39345BA3" w14:textId="790D3423" w:rsidR="00512813" w:rsidRPr="00AD01AE" w:rsidRDefault="00512813" w:rsidP="002960AE">
      <w:pPr>
        <w:rPr>
          <w:b/>
          <w:bCs/>
          <w:lang w:eastAsia="zh-CN"/>
        </w:rPr>
      </w:pPr>
      <w:r w:rsidRPr="00AD01AE">
        <w:rPr>
          <w:b/>
          <w:bCs/>
          <w:u w:val="single"/>
          <w:lang w:eastAsia="zh-CN"/>
        </w:rPr>
        <w:t xml:space="preserve">Observation </w:t>
      </w:r>
      <w:r w:rsidR="000044A8">
        <w:rPr>
          <w:b/>
          <w:bCs/>
          <w:u w:val="single"/>
          <w:lang w:eastAsia="zh-CN"/>
        </w:rPr>
        <w:t>2</w:t>
      </w:r>
      <w:r w:rsidRPr="00AD01AE">
        <w:rPr>
          <w:b/>
          <w:bCs/>
          <w:lang w:eastAsia="zh-CN"/>
        </w:rPr>
        <w:t xml:space="preserve">: It is expected to start </w:t>
      </w:r>
      <w:r w:rsidR="00AD01AE" w:rsidRPr="00AD01AE">
        <w:rPr>
          <w:b/>
          <w:bCs/>
          <w:lang w:eastAsia="zh-CN"/>
        </w:rPr>
        <w:t xml:space="preserve">quantifying enhanced ACLR and ACS for SBFD-capable gNB as a first outcome of the Rel-20 SBFD-SBFD coexistence work.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87635" w14:paraId="719B57D9" w14:textId="6A229E78" w:rsidTr="00487635">
        <w:tc>
          <w:tcPr>
            <w:tcW w:w="4981" w:type="dxa"/>
          </w:tcPr>
          <w:p w14:paraId="3D188B0D" w14:textId="5CD062BD" w:rsidR="00487635" w:rsidRDefault="00487635" w:rsidP="002960AE">
            <w:r w:rsidRPr="006D147A">
              <w:rPr>
                <w:noProof/>
              </w:rPr>
              <w:drawing>
                <wp:inline distT="0" distB="0" distL="0" distR="0" wp14:anchorId="4168DF60" wp14:editId="4CA96D91">
                  <wp:extent cx="2783840" cy="2086884"/>
                  <wp:effectExtent l="0" t="0" r="0" b="0"/>
                  <wp:docPr id="39741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0179" cy="2099133"/>
                          </a:xfrm>
                          <a:prstGeom prst="rect">
                            <a:avLst/>
                          </a:prstGeom>
                          <a:noFill/>
                          <a:ln>
                            <a:noFill/>
                          </a:ln>
                        </pic:spPr>
                      </pic:pic>
                    </a:graphicData>
                  </a:graphic>
                </wp:inline>
              </w:drawing>
            </w:r>
          </w:p>
        </w:tc>
        <w:tc>
          <w:tcPr>
            <w:tcW w:w="4981" w:type="dxa"/>
          </w:tcPr>
          <w:p w14:paraId="4D266175" w14:textId="2BBF0FBF" w:rsidR="00487635" w:rsidRDefault="00487635" w:rsidP="00487635">
            <w:pPr>
              <w:keepNext/>
            </w:pPr>
            <w:r w:rsidRPr="00487635">
              <w:rPr>
                <w:noProof/>
              </w:rPr>
              <w:drawing>
                <wp:inline distT="0" distB="0" distL="0" distR="0" wp14:anchorId="5BCBE2C9" wp14:editId="7A4C89E1">
                  <wp:extent cx="2763520" cy="2071652"/>
                  <wp:effectExtent l="0" t="0" r="0" b="0"/>
                  <wp:docPr id="13248298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8024" cy="2097518"/>
                          </a:xfrm>
                          <a:prstGeom prst="rect">
                            <a:avLst/>
                          </a:prstGeom>
                          <a:noFill/>
                          <a:ln>
                            <a:noFill/>
                          </a:ln>
                        </pic:spPr>
                      </pic:pic>
                    </a:graphicData>
                  </a:graphic>
                </wp:inline>
              </w:drawing>
            </w:r>
          </w:p>
        </w:tc>
      </w:tr>
    </w:tbl>
    <w:p w14:paraId="4902E274" w14:textId="12D986AA" w:rsidR="00487635" w:rsidRDefault="00487635" w:rsidP="00487635">
      <w:pPr>
        <w:pStyle w:val="Caption"/>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U</w:t>
      </w:r>
      <w:r w:rsidR="004508A2">
        <w:t>m</w:t>
      </w:r>
      <w:r>
        <w:t>a results for SBFD DL as victim (left) and SBFD UL as victim (right) assuming TDD DL as aggressor</w:t>
      </w:r>
    </w:p>
    <w:p w14:paraId="2EA5EA90" w14:textId="3A735DD0" w:rsidR="006D147A" w:rsidRDefault="004508A2" w:rsidP="004508A2">
      <w:pPr>
        <w:rPr>
          <w:lang w:eastAsia="zh-CN"/>
        </w:rPr>
      </w:pPr>
      <w:r>
        <w:rPr>
          <w:lang w:eastAsia="zh-CN"/>
        </w:rPr>
        <w:t xml:space="preserve">One of the important aspects to be discussed is the performance metric. To be consistent, it is viable to adopt the same performance metric given in Section 11 in TR 38.858. </w:t>
      </w:r>
      <w:r>
        <w:rPr>
          <w:lang w:eastAsia="zh-CN"/>
        </w:rPr>
        <w:br/>
      </w:r>
      <w:r>
        <w:rPr>
          <w:lang w:eastAsia="zh-CN"/>
        </w:rPr>
        <w:br/>
      </w:r>
      <w:r w:rsidRPr="004508A2">
        <w:rPr>
          <w:b/>
          <w:bCs/>
          <w:u w:val="single"/>
          <w:lang w:eastAsia="zh-CN"/>
        </w:rPr>
        <w:t xml:space="preserve">Proposal </w:t>
      </w:r>
      <w:r w:rsidR="000044A8">
        <w:rPr>
          <w:b/>
          <w:bCs/>
          <w:u w:val="single"/>
          <w:lang w:eastAsia="zh-CN"/>
        </w:rPr>
        <w:t>2</w:t>
      </w:r>
      <w:r w:rsidRPr="004508A2">
        <w:rPr>
          <w:b/>
          <w:bCs/>
          <w:lang w:eastAsia="zh-CN"/>
        </w:rPr>
        <w:t>: RAN4 to adopt the same performance metric in TR 38.858 Section 11 to determine the level of ACIR enhancement needed for the SBFD-capable gNB.</w:t>
      </w:r>
      <w:r>
        <w:rPr>
          <w:lang w:eastAsia="zh-CN"/>
        </w:rPr>
        <w:t xml:space="preserve"> </w:t>
      </w:r>
    </w:p>
    <w:p w14:paraId="7BBC8EC2" w14:textId="2F2D181E" w:rsidR="00125581" w:rsidRDefault="00125581" w:rsidP="004508A2">
      <w:pPr>
        <w:rPr>
          <w:lang w:eastAsia="zh-CN"/>
        </w:rPr>
      </w:pPr>
      <w:r>
        <w:rPr>
          <w:lang w:eastAsia="zh-CN"/>
        </w:rPr>
        <w:lastRenderedPageBreak/>
        <w:t xml:space="preserve">In terms of simulation parameters and specifically blocking model of the SBFD-capable gNB, it is a viable way forward to adopt baseline assumptions along with the blocking model in Annex E in TR 38.858. As a starting point, uncoordinated deployment with 100% and 50% grid shift could be started and further grid shift considerations could be later investigated. </w:t>
      </w:r>
    </w:p>
    <w:p w14:paraId="41132F6B" w14:textId="7663D49E" w:rsidR="00125581" w:rsidRPr="00125581" w:rsidRDefault="00125581" w:rsidP="004508A2">
      <w:pPr>
        <w:rPr>
          <w:b/>
          <w:bCs/>
          <w:lang w:eastAsia="zh-CN"/>
        </w:rPr>
      </w:pPr>
      <w:r w:rsidRPr="00125581">
        <w:rPr>
          <w:b/>
          <w:bCs/>
          <w:u w:val="single"/>
          <w:lang w:eastAsia="zh-CN"/>
        </w:rPr>
        <w:t>Proposal 3</w:t>
      </w:r>
      <w:r w:rsidRPr="00125581">
        <w:rPr>
          <w:b/>
          <w:bCs/>
          <w:lang w:eastAsia="zh-CN"/>
        </w:rPr>
        <w:t>: RAN4 to adopt baseline assumptions and the blocking model developed in Annex E TR 38.858. As a starting point, adopt 100% and 50% grid shift cases without excluding other value for future considerations.</w:t>
      </w:r>
    </w:p>
    <w:p w14:paraId="46DCD988" w14:textId="26031E98" w:rsidR="00A37CEF" w:rsidRDefault="00A37CEF" w:rsidP="00E9203B">
      <w:pPr>
        <w:pStyle w:val="Heading1"/>
      </w:pPr>
      <w:r>
        <w:t>Conclusion</w:t>
      </w:r>
    </w:p>
    <w:p w14:paraId="21920010" w14:textId="1BC255A3" w:rsidR="00A37CEF" w:rsidRDefault="00A37CEF" w:rsidP="0003651D">
      <w:pPr>
        <w:jc w:val="both"/>
      </w:pPr>
      <w:r w:rsidRPr="00A562B7">
        <w:t>In</w:t>
      </w:r>
      <w:r>
        <w:t xml:space="preserve"> </w:t>
      </w:r>
      <w:r w:rsidRPr="00A562B7">
        <w:t>this</w:t>
      </w:r>
      <w:r>
        <w:t xml:space="preserve"> </w:t>
      </w:r>
      <w:r w:rsidRPr="00A562B7">
        <w:t>contribution,</w:t>
      </w:r>
      <w:r>
        <w:t xml:space="preserve"> </w:t>
      </w:r>
      <w:r w:rsidR="00D67517">
        <w:t xml:space="preserve">our observations and </w:t>
      </w:r>
      <w:r w:rsidR="00091A74">
        <w:t>proposals for the Rel-20 SBFD-to-SBFD coexistence can be summarized as follows:</w:t>
      </w:r>
    </w:p>
    <w:p w14:paraId="18B5EA44" w14:textId="3B23A112" w:rsidR="004508A2" w:rsidRPr="004508A2" w:rsidRDefault="004508A2" w:rsidP="00091A74">
      <w:pPr>
        <w:rPr>
          <w:b/>
          <w:bCs/>
          <w:lang w:eastAsia="zh-CN"/>
        </w:rPr>
      </w:pPr>
      <w:r w:rsidRPr="00D67517">
        <w:rPr>
          <w:b/>
          <w:bCs/>
          <w:u w:val="single"/>
          <w:lang w:eastAsia="zh-CN"/>
        </w:rPr>
        <w:t>Observation 1</w:t>
      </w:r>
      <w:r w:rsidRPr="00F83B0C">
        <w:rPr>
          <w:b/>
          <w:bCs/>
          <w:lang w:eastAsia="zh-CN"/>
        </w:rPr>
        <w:t xml:space="preserve">: Work in Rel-18 and Rel-19 considered TDD to SBFD adjacent channel coexistence, which is in general limited by legacy TDD BS requirements, especially regarding ACIR enhancements. </w:t>
      </w:r>
    </w:p>
    <w:p w14:paraId="32C1863B" w14:textId="3D558D9D" w:rsidR="004508A2" w:rsidRPr="004508A2" w:rsidRDefault="004508A2" w:rsidP="00091A74">
      <w:pPr>
        <w:rPr>
          <w:b/>
          <w:bCs/>
          <w:lang w:eastAsia="zh-CN"/>
        </w:rPr>
      </w:pPr>
      <w:r w:rsidRPr="00512813">
        <w:rPr>
          <w:b/>
          <w:bCs/>
          <w:u w:val="single"/>
          <w:lang w:eastAsia="zh-CN"/>
        </w:rPr>
        <w:t>Proposal 1</w:t>
      </w:r>
      <w:r>
        <w:rPr>
          <w:b/>
          <w:bCs/>
          <w:lang w:eastAsia="zh-CN"/>
        </w:rPr>
        <w:t xml:space="preserve">: RAN4 to discuss how to account for different ACLR/ACS steps from TR 36.942 in the Rel20 adjacent channel coexistence SBFD-SBFD work. </w:t>
      </w:r>
    </w:p>
    <w:p w14:paraId="61B1FB12" w14:textId="148E50E1" w:rsidR="004508A2" w:rsidRDefault="004508A2" w:rsidP="00091A74">
      <w:pPr>
        <w:rPr>
          <w:b/>
          <w:bCs/>
          <w:u w:val="single"/>
          <w:lang w:eastAsia="zh-CN"/>
        </w:rPr>
      </w:pPr>
      <w:r w:rsidRPr="00D67517">
        <w:rPr>
          <w:b/>
          <w:bCs/>
          <w:u w:val="single"/>
          <w:lang w:eastAsia="zh-CN"/>
        </w:rPr>
        <w:t>Proposal 2</w:t>
      </w:r>
      <w:r w:rsidRPr="00D67517">
        <w:rPr>
          <w:b/>
          <w:bCs/>
          <w:lang w:eastAsia="zh-CN"/>
        </w:rPr>
        <w:t>: RAN4 to identify which Tx/Rx requirements will be studied via adjacent channel coexistence for the Rel-20 SBFD-to-SBFD coexistence.</w:t>
      </w:r>
    </w:p>
    <w:p w14:paraId="4550B632" w14:textId="728E8C87" w:rsidR="004508A2" w:rsidRPr="004508A2" w:rsidRDefault="004508A2" w:rsidP="00091A74">
      <w:pPr>
        <w:rPr>
          <w:b/>
          <w:bCs/>
          <w:lang w:eastAsia="zh-CN"/>
        </w:rPr>
      </w:pPr>
      <w:r w:rsidRPr="00AD01AE">
        <w:rPr>
          <w:b/>
          <w:bCs/>
          <w:u w:val="single"/>
          <w:lang w:eastAsia="zh-CN"/>
        </w:rPr>
        <w:t>Observation 3</w:t>
      </w:r>
      <w:r w:rsidRPr="00AD01AE">
        <w:rPr>
          <w:b/>
          <w:bCs/>
          <w:lang w:eastAsia="zh-CN"/>
        </w:rPr>
        <w:t xml:space="preserve">: It is expected to start quantifying enhanced ACLR and ACS for SBFD-capable gNB as a first outcome of the Rel-20 SBFD-SBFD coexistence work. </w:t>
      </w:r>
    </w:p>
    <w:p w14:paraId="2B99BF60" w14:textId="0BB1E03E" w:rsidR="00091A74" w:rsidRDefault="004508A2" w:rsidP="00091A74">
      <w:pPr>
        <w:rPr>
          <w:b/>
          <w:bCs/>
          <w:lang w:eastAsia="zh-CN"/>
        </w:rPr>
      </w:pPr>
      <w:r w:rsidRPr="004508A2">
        <w:rPr>
          <w:b/>
          <w:bCs/>
          <w:u w:val="single"/>
          <w:lang w:eastAsia="zh-CN"/>
        </w:rPr>
        <w:t xml:space="preserve">Proposal </w:t>
      </w:r>
      <w:r w:rsidR="00125581">
        <w:rPr>
          <w:b/>
          <w:bCs/>
          <w:u w:val="single"/>
          <w:lang w:eastAsia="zh-CN"/>
        </w:rPr>
        <w:t>2:</w:t>
      </w:r>
      <w:r w:rsidRPr="004508A2">
        <w:rPr>
          <w:b/>
          <w:bCs/>
          <w:lang w:eastAsia="zh-CN"/>
        </w:rPr>
        <w:t xml:space="preserve"> RAN4 to adopt the same performance metric in TR 38.858 Section 11 to determine the level of ACIR enhancement needed for the SBFD-capable gNB.</w:t>
      </w:r>
      <w:r>
        <w:rPr>
          <w:lang w:eastAsia="zh-CN"/>
        </w:rPr>
        <w:t xml:space="preserve"> </w:t>
      </w:r>
      <w:r w:rsidR="00091A74" w:rsidRPr="00D67517">
        <w:rPr>
          <w:b/>
          <w:bCs/>
          <w:lang w:eastAsia="zh-CN"/>
        </w:rPr>
        <w:t xml:space="preserve"> </w:t>
      </w:r>
    </w:p>
    <w:p w14:paraId="562BBEA8" w14:textId="000CDE10" w:rsidR="00125581" w:rsidRPr="00091A74" w:rsidRDefault="00125581" w:rsidP="00091A74">
      <w:pPr>
        <w:rPr>
          <w:b/>
          <w:bCs/>
          <w:lang w:eastAsia="zh-CN"/>
        </w:rPr>
      </w:pPr>
      <w:r w:rsidRPr="00125581">
        <w:rPr>
          <w:b/>
          <w:bCs/>
          <w:u w:val="single"/>
          <w:lang w:eastAsia="zh-CN"/>
        </w:rPr>
        <w:t>Proposal 3</w:t>
      </w:r>
      <w:r w:rsidRPr="00125581">
        <w:rPr>
          <w:b/>
          <w:bCs/>
          <w:lang w:eastAsia="zh-CN"/>
        </w:rPr>
        <w:t>: RAN4 to adopt baseline assumptions and the blocking model developed in Annex E TR 38.858. As a starting point, adopt 100% and 50% grid shift cases without excluding other value for future considerations.</w:t>
      </w:r>
    </w:p>
    <w:p w14:paraId="2B7C1C2C" w14:textId="77777777" w:rsidR="00A37CEF" w:rsidRPr="00D54742" w:rsidRDefault="00A37CEF" w:rsidP="0003651D">
      <w:pPr>
        <w:pStyle w:val="Heading1"/>
        <w:jc w:val="both"/>
      </w:pPr>
      <w:r>
        <w:t>References</w:t>
      </w:r>
    </w:p>
    <w:p w14:paraId="53518240" w14:textId="087663DA" w:rsidR="00A37CEF" w:rsidRDefault="00EE35E9" w:rsidP="00B41221">
      <w:pPr>
        <w:pStyle w:val="ListParagraph"/>
        <w:numPr>
          <w:ilvl w:val="0"/>
          <w:numId w:val="2"/>
        </w:numPr>
        <w:spacing w:after="120"/>
        <w:jc w:val="both"/>
        <w:rPr>
          <w:rFonts w:ascii="Times New Roman" w:eastAsia="SimSun" w:hAnsi="Times New Roman"/>
          <w:sz w:val="20"/>
          <w:szCs w:val="20"/>
          <w:lang w:val="en-GB"/>
        </w:rPr>
      </w:pPr>
      <w:bookmarkStart w:id="15" w:name="_Ref47616084"/>
      <w:bookmarkStart w:id="16" w:name="_Ref32439522"/>
      <w:r w:rsidRPr="004F43BC">
        <w:rPr>
          <w:rFonts w:ascii="Times New Roman" w:eastAsia="SimSun" w:hAnsi="Times New Roman" w:hint="eastAsia"/>
          <w:sz w:val="20"/>
          <w:szCs w:val="20"/>
          <w:lang w:val="en-GB"/>
        </w:rPr>
        <w:t>RP-252905</w:t>
      </w:r>
      <w:r w:rsidR="00B41221" w:rsidRPr="00B41221">
        <w:rPr>
          <w:rFonts w:ascii="Times New Roman" w:eastAsia="SimSun" w:hAnsi="Times New Roman"/>
          <w:sz w:val="20"/>
          <w:szCs w:val="20"/>
          <w:lang w:val="en-GB"/>
        </w:rPr>
        <w:t xml:space="preserve">, </w:t>
      </w:r>
      <w:r w:rsidR="004F43BC" w:rsidRPr="004F43BC">
        <w:rPr>
          <w:rFonts w:ascii="Times New Roman" w:eastAsia="SimSun" w:hAnsi="Times New Roman"/>
          <w:sz w:val="20"/>
          <w:szCs w:val="20"/>
          <w:lang w:val="en-GB"/>
        </w:rPr>
        <w:t>New WID on NR base station (BS) RF requirement evolution for FR1 and testing phase 2</w:t>
      </w:r>
      <w:r w:rsidR="00B41221" w:rsidRPr="00B41221">
        <w:rPr>
          <w:rFonts w:ascii="Times New Roman" w:eastAsia="SimSun" w:hAnsi="Times New Roman"/>
          <w:sz w:val="20"/>
          <w:szCs w:val="20"/>
          <w:lang w:val="en-GB"/>
        </w:rPr>
        <w:t xml:space="preserve">, </w:t>
      </w:r>
      <w:r w:rsidR="004F43BC">
        <w:rPr>
          <w:rFonts w:ascii="Times New Roman" w:eastAsia="SimSun" w:hAnsi="Times New Roman"/>
          <w:sz w:val="20"/>
          <w:szCs w:val="20"/>
          <w:lang w:val="en-GB"/>
        </w:rPr>
        <w:t>Huawei</w:t>
      </w:r>
      <w:r w:rsidR="00B41221" w:rsidRPr="00B41221">
        <w:rPr>
          <w:rFonts w:ascii="Times New Roman" w:eastAsia="SimSun" w:hAnsi="Times New Roman"/>
          <w:sz w:val="20"/>
          <w:szCs w:val="20"/>
          <w:lang w:val="en-GB"/>
        </w:rPr>
        <w:t xml:space="preserve"> (Moderator)</w:t>
      </w:r>
      <w:bookmarkEnd w:id="15"/>
      <w:r w:rsidR="006D7E0B">
        <w:rPr>
          <w:rFonts w:ascii="Times New Roman" w:eastAsia="SimSun" w:hAnsi="Times New Roman"/>
          <w:sz w:val="20"/>
          <w:szCs w:val="20"/>
          <w:lang w:val="en-GB"/>
        </w:rPr>
        <w:t xml:space="preserve">, </w:t>
      </w:r>
      <w:r w:rsidR="006D7E0B" w:rsidRPr="006D7E0B">
        <w:rPr>
          <w:rFonts w:ascii="Times New Roman" w:eastAsia="SimSun" w:hAnsi="Times New Roman"/>
          <w:sz w:val="20"/>
          <w:szCs w:val="20"/>
          <w:lang w:val="en-GB"/>
        </w:rPr>
        <w:t>RAN Meeting #10</w:t>
      </w:r>
      <w:r w:rsidR="001A7CAE">
        <w:rPr>
          <w:rFonts w:ascii="Times New Roman" w:eastAsia="SimSun" w:hAnsi="Times New Roman"/>
          <w:sz w:val="20"/>
          <w:szCs w:val="20"/>
          <w:lang w:val="en-GB"/>
        </w:rPr>
        <w:t>9</w:t>
      </w:r>
      <w:r w:rsid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Beijing</w:t>
      </w:r>
      <w:r w:rsidR="006D7E0B" w:rsidRP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China</w:t>
      </w:r>
      <w:r w:rsidR="006D7E0B">
        <w:rPr>
          <w:rFonts w:ascii="Times New Roman" w:eastAsia="SimSun" w:hAnsi="Times New Roman"/>
          <w:sz w:val="20"/>
          <w:szCs w:val="20"/>
          <w:lang w:val="en-GB"/>
        </w:rPr>
        <w:t>.</w:t>
      </w:r>
    </w:p>
    <w:p w14:paraId="7547DE2D" w14:textId="5C286070" w:rsidR="00A37CEF" w:rsidRPr="00944372" w:rsidRDefault="00153DED" w:rsidP="0003651D">
      <w:pPr>
        <w:pStyle w:val="ListParagraph"/>
        <w:numPr>
          <w:ilvl w:val="0"/>
          <w:numId w:val="2"/>
        </w:numPr>
        <w:spacing w:after="120"/>
        <w:jc w:val="both"/>
        <w:rPr>
          <w:rFonts w:ascii="Times New Roman" w:eastAsia="SimSun" w:hAnsi="Times New Roman"/>
          <w:sz w:val="20"/>
          <w:szCs w:val="20"/>
          <w:lang w:val="en-GB"/>
        </w:rPr>
      </w:pPr>
      <w:r w:rsidRPr="00153DED">
        <w:rPr>
          <w:rFonts w:ascii="Times New Roman" w:eastAsia="SimSun" w:hAnsi="Times New Roman"/>
          <w:sz w:val="20"/>
          <w:szCs w:val="20"/>
          <w:lang w:val="en-GB"/>
        </w:rPr>
        <w:t>R4-2522977</w:t>
      </w:r>
      <w:r w:rsidR="002F1014">
        <w:rPr>
          <w:rFonts w:ascii="Times New Roman" w:eastAsia="SimSun" w:hAnsi="Times New Roman"/>
          <w:sz w:val="20"/>
          <w:szCs w:val="20"/>
          <w:lang w:val="en-GB"/>
        </w:rPr>
        <w:t>, “</w:t>
      </w:r>
      <w:r w:rsidR="002F1014" w:rsidRPr="00944372">
        <w:rPr>
          <w:rFonts w:ascii="Times New Roman" w:eastAsia="SimSun" w:hAnsi="Times New Roman"/>
          <w:sz w:val="20"/>
          <w:szCs w:val="20"/>
          <w:lang w:val="en-GB"/>
        </w:rPr>
        <w:t>Way-Forward for NR_BS_RF_Ph2”, Ericsson</w:t>
      </w:r>
      <w:r w:rsidR="00EB4640" w:rsidRPr="00EB4640">
        <w:rPr>
          <w:rFonts w:ascii="Times New Roman" w:eastAsia="SimSun" w:hAnsi="Times New Roman"/>
          <w:sz w:val="20"/>
          <w:szCs w:val="20"/>
          <w:lang w:val="en-GB"/>
        </w:rPr>
        <w:t>,</w:t>
      </w:r>
      <w:r w:rsidR="00EB4640">
        <w:rPr>
          <w:rFonts w:ascii="Times New Roman" w:eastAsia="SimSun" w:hAnsi="Times New Roman"/>
          <w:sz w:val="20"/>
          <w:szCs w:val="20"/>
          <w:lang w:val="en-GB"/>
        </w:rPr>
        <w:t xml:space="preserve"> RAN </w:t>
      </w:r>
      <w:r w:rsidR="00944372">
        <w:rPr>
          <w:rFonts w:ascii="Times New Roman" w:eastAsia="SimSun" w:hAnsi="Times New Roman"/>
          <w:sz w:val="20"/>
          <w:szCs w:val="20"/>
          <w:lang w:val="en-GB"/>
        </w:rPr>
        <w:t>4</w:t>
      </w:r>
      <w:r w:rsidR="00EB4640">
        <w:rPr>
          <w:rFonts w:ascii="Times New Roman" w:eastAsia="SimSun" w:hAnsi="Times New Roman"/>
          <w:sz w:val="20"/>
          <w:szCs w:val="20"/>
          <w:lang w:val="en-GB"/>
        </w:rPr>
        <w:t>Meeting #</w:t>
      </w:r>
      <w:r>
        <w:rPr>
          <w:rFonts w:ascii="Times New Roman" w:eastAsia="SimSun" w:hAnsi="Times New Roman"/>
          <w:sz w:val="20"/>
          <w:szCs w:val="20"/>
          <w:lang w:val="en-GB"/>
        </w:rPr>
        <w:t>117</w:t>
      </w:r>
      <w:r w:rsidR="00613EFC">
        <w:rPr>
          <w:rFonts w:ascii="Times New Roman" w:eastAsia="SimSun" w:hAnsi="Times New Roman"/>
          <w:sz w:val="20"/>
          <w:szCs w:val="20"/>
          <w:lang w:val="en-GB"/>
        </w:rPr>
        <w:t>.</w:t>
      </w:r>
      <w:bookmarkEnd w:id="16"/>
    </w:p>
    <w:sectPr w:rsidR="00A37CEF" w:rsidRPr="00944372" w:rsidSect="00370B59">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4EC69" w14:textId="77777777" w:rsidR="008D146F" w:rsidRDefault="008D146F">
      <w:pPr>
        <w:spacing w:after="0"/>
      </w:pPr>
      <w:r>
        <w:separator/>
      </w:r>
    </w:p>
  </w:endnote>
  <w:endnote w:type="continuationSeparator" w:id="0">
    <w:p w14:paraId="057BE744" w14:textId="77777777" w:rsidR="008D146F" w:rsidRDefault="008D146F">
      <w:pPr>
        <w:spacing w:after="0"/>
      </w:pPr>
      <w:r>
        <w:continuationSeparator/>
      </w:r>
    </w:p>
  </w:endnote>
  <w:endnote w:type="continuationNotice" w:id="1">
    <w:p w14:paraId="7A157D9C" w14:textId="77777777" w:rsidR="008D146F" w:rsidRDefault="008D1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2CB7D" w14:textId="77777777" w:rsidR="008D146F" w:rsidRDefault="008D146F">
      <w:pPr>
        <w:spacing w:after="0"/>
      </w:pPr>
      <w:r>
        <w:separator/>
      </w:r>
    </w:p>
  </w:footnote>
  <w:footnote w:type="continuationSeparator" w:id="0">
    <w:p w14:paraId="2940B7FD" w14:textId="77777777" w:rsidR="008D146F" w:rsidRDefault="008D146F">
      <w:pPr>
        <w:spacing w:after="0"/>
      </w:pPr>
      <w:r>
        <w:continuationSeparator/>
      </w:r>
    </w:p>
  </w:footnote>
  <w:footnote w:type="continuationNotice" w:id="1">
    <w:p w14:paraId="38158D54" w14:textId="77777777" w:rsidR="008D146F" w:rsidRDefault="008D14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6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37642"/>
    <w:multiLevelType w:val="hybridMultilevel"/>
    <w:tmpl w:val="21308EAC"/>
    <w:lvl w:ilvl="0" w:tplc="D9A66F78">
      <w:start w:val="1"/>
      <w:numFmt w:val="bullet"/>
      <w:lvlText w:val="•"/>
      <w:lvlJc w:val="left"/>
      <w:pPr>
        <w:tabs>
          <w:tab w:val="num" w:pos="720"/>
        </w:tabs>
        <w:ind w:left="720" w:hanging="360"/>
      </w:pPr>
      <w:rPr>
        <w:rFonts w:ascii="Arial" w:hAnsi="Arial" w:hint="default"/>
      </w:rPr>
    </w:lvl>
    <w:lvl w:ilvl="1" w:tplc="B3C4EF1A" w:tentative="1">
      <w:start w:val="1"/>
      <w:numFmt w:val="bullet"/>
      <w:lvlText w:val="•"/>
      <w:lvlJc w:val="left"/>
      <w:pPr>
        <w:tabs>
          <w:tab w:val="num" w:pos="1440"/>
        </w:tabs>
        <w:ind w:left="1440" w:hanging="360"/>
      </w:pPr>
      <w:rPr>
        <w:rFonts w:ascii="Arial" w:hAnsi="Arial" w:hint="default"/>
      </w:rPr>
    </w:lvl>
    <w:lvl w:ilvl="2" w:tplc="7EA63476" w:tentative="1">
      <w:start w:val="1"/>
      <w:numFmt w:val="bullet"/>
      <w:lvlText w:val="•"/>
      <w:lvlJc w:val="left"/>
      <w:pPr>
        <w:tabs>
          <w:tab w:val="num" w:pos="2160"/>
        </w:tabs>
        <w:ind w:left="2160" w:hanging="360"/>
      </w:pPr>
      <w:rPr>
        <w:rFonts w:ascii="Arial" w:hAnsi="Arial" w:hint="default"/>
      </w:rPr>
    </w:lvl>
    <w:lvl w:ilvl="3" w:tplc="FABA4B6C" w:tentative="1">
      <w:start w:val="1"/>
      <w:numFmt w:val="bullet"/>
      <w:lvlText w:val="•"/>
      <w:lvlJc w:val="left"/>
      <w:pPr>
        <w:tabs>
          <w:tab w:val="num" w:pos="2880"/>
        </w:tabs>
        <w:ind w:left="2880" w:hanging="360"/>
      </w:pPr>
      <w:rPr>
        <w:rFonts w:ascii="Arial" w:hAnsi="Arial" w:hint="default"/>
      </w:rPr>
    </w:lvl>
    <w:lvl w:ilvl="4" w:tplc="D4A42EFA" w:tentative="1">
      <w:start w:val="1"/>
      <w:numFmt w:val="bullet"/>
      <w:lvlText w:val="•"/>
      <w:lvlJc w:val="left"/>
      <w:pPr>
        <w:tabs>
          <w:tab w:val="num" w:pos="3600"/>
        </w:tabs>
        <w:ind w:left="3600" w:hanging="360"/>
      </w:pPr>
      <w:rPr>
        <w:rFonts w:ascii="Arial" w:hAnsi="Arial" w:hint="default"/>
      </w:rPr>
    </w:lvl>
    <w:lvl w:ilvl="5" w:tplc="7D64DC62" w:tentative="1">
      <w:start w:val="1"/>
      <w:numFmt w:val="bullet"/>
      <w:lvlText w:val="•"/>
      <w:lvlJc w:val="left"/>
      <w:pPr>
        <w:tabs>
          <w:tab w:val="num" w:pos="4320"/>
        </w:tabs>
        <w:ind w:left="4320" w:hanging="360"/>
      </w:pPr>
      <w:rPr>
        <w:rFonts w:ascii="Arial" w:hAnsi="Arial" w:hint="default"/>
      </w:rPr>
    </w:lvl>
    <w:lvl w:ilvl="6" w:tplc="1CDA16AE" w:tentative="1">
      <w:start w:val="1"/>
      <w:numFmt w:val="bullet"/>
      <w:lvlText w:val="•"/>
      <w:lvlJc w:val="left"/>
      <w:pPr>
        <w:tabs>
          <w:tab w:val="num" w:pos="5040"/>
        </w:tabs>
        <w:ind w:left="5040" w:hanging="360"/>
      </w:pPr>
      <w:rPr>
        <w:rFonts w:ascii="Arial" w:hAnsi="Arial" w:hint="default"/>
      </w:rPr>
    </w:lvl>
    <w:lvl w:ilvl="7" w:tplc="5E9036F2" w:tentative="1">
      <w:start w:val="1"/>
      <w:numFmt w:val="bullet"/>
      <w:lvlText w:val="•"/>
      <w:lvlJc w:val="left"/>
      <w:pPr>
        <w:tabs>
          <w:tab w:val="num" w:pos="5760"/>
        </w:tabs>
        <w:ind w:left="5760" w:hanging="360"/>
      </w:pPr>
      <w:rPr>
        <w:rFonts w:ascii="Arial" w:hAnsi="Arial" w:hint="default"/>
      </w:rPr>
    </w:lvl>
    <w:lvl w:ilvl="8" w:tplc="586447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FA6685"/>
    <w:multiLevelType w:val="hybridMultilevel"/>
    <w:tmpl w:val="6C708A04"/>
    <w:lvl w:ilvl="0" w:tplc="1B54F05A">
      <w:start w:val="1"/>
      <w:numFmt w:val="bullet"/>
      <w:lvlText w:val="•"/>
      <w:lvlJc w:val="left"/>
      <w:pPr>
        <w:tabs>
          <w:tab w:val="num" w:pos="720"/>
        </w:tabs>
        <w:ind w:left="720" w:hanging="360"/>
      </w:pPr>
      <w:rPr>
        <w:rFonts w:ascii="Arial" w:hAnsi="Arial" w:cs="Times New Roman" w:hint="default"/>
      </w:rPr>
    </w:lvl>
    <w:lvl w:ilvl="1" w:tplc="3DAEB920">
      <w:start w:val="1"/>
      <w:numFmt w:val="bullet"/>
      <w:lvlText w:val="•"/>
      <w:lvlJc w:val="left"/>
      <w:pPr>
        <w:tabs>
          <w:tab w:val="num" w:pos="1440"/>
        </w:tabs>
        <w:ind w:left="1440" w:hanging="360"/>
      </w:pPr>
      <w:rPr>
        <w:rFonts w:ascii="Arial" w:hAnsi="Arial" w:cs="Times New Roman" w:hint="default"/>
      </w:rPr>
    </w:lvl>
    <w:lvl w:ilvl="2" w:tplc="B4AE157C">
      <w:start w:val="1"/>
      <w:numFmt w:val="bullet"/>
      <w:lvlText w:val="•"/>
      <w:lvlJc w:val="left"/>
      <w:pPr>
        <w:tabs>
          <w:tab w:val="num" w:pos="2160"/>
        </w:tabs>
        <w:ind w:left="2160" w:hanging="360"/>
      </w:pPr>
      <w:rPr>
        <w:rFonts w:ascii="Arial" w:hAnsi="Arial" w:cs="Times New Roman" w:hint="default"/>
      </w:rPr>
    </w:lvl>
    <w:lvl w:ilvl="3" w:tplc="8AAC7ED4">
      <w:numFmt w:val="bullet"/>
      <w:lvlText w:val="•"/>
      <w:lvlJc w:val="left"/>
      <w:pPr>
        <w:tabs>
          <w:tab w:val="num" w:pos="2880"/>
        </w:tabs>
        <w:ind w:left="2880" w:hanging="360"/>
      </w:pPr>
      <w:rPr>
        <w:rFonts w:ascii="Arial" w:hAnsi="Arial" w:cs="Times New Roman" w:hint="default"/>
      </w:rPr>
    </w:lvl>
    <w:lvl w:ilvl="4" w:tplc="2962DC6C">
      <w:start w:val="1"/>
      <w:numFmt w:val="bullet"/>
      <w:lvlText w:val="•"/>
      <w:lvlJc w:val="left"/>
      <w:pPr>
        <w:tabs>
          <w:tab w:val="num" w:pos="3600"/>
        </w:tabs>
        <w:ind w:left="3600" w:hanging="360"/>
      </w:pPr>
      <w:rPr>
        <w:rFonts w:ascii="Arial" w:hAnsi="Arial" w:cs="Times New Roman" w:hint="default"/>
      </w:rPr>
    </w:lvl>
    <w:lvl w:ilvl="5" w:tplc="ADD43214">
      <w:start w:val="1"/>
      <w:numFmt w:val="bullet"/>
      <w:lvlText w:val="•"/>
      <w:lvlJc w:val="left"/>
      <w:pPr>
        <w:tabs>
          <w:tab w:val="num" w:pos="4320"/>
        </w:tabs>
        <w:ind w:left="4320" w:hanging="360"/>
      </w:pPr>
      <w:rPr>
        <w:rFonts w:ascii="Arial" w:hAnsi="Arial" w:cs="Times New Roman" w:hint="default"/>
      </w:rPr>
    </w:lvl>
    <w:lvl w:ilvl="6" w:tplc="7794C6F2">
      <w:start w:val="1"/>
      <w:numFmt w:val="bullet"/>
      <w:lvlText w:val="•"/>
      <w:lvlJc w:val="left"/>
      <w:pPr>
        <w:tabs>
          <w:tab w:val="num" w:pos="5040"/>
        </w:tabs>
        <w:ind w:left="5040" w:hanging="360"/>
      </w:pPr>
      <w:rPr>
        <w:rFonts w:ascii="Arial" w:hAnsi="Arial" w:cs="Times New Roman" w:hint="default"/>
      </w:rPr>
    </w:lvl>
    <w:lvl w:ilvl="7" w:tplc="D94CDE98">
      <w:start w:val="1"/>
      <w:numFmt w:val="bullet"/>
      <w:lvlText w:val="•"/>
      <w:lvlJc w:val="left"/>
      <w:pPr>
        <w:tabs>
          <w:tab w:val="num" w:pos="5760"/>
        </w:tabs>
        <w:ind w:left="5760" w:hanging="360"/>
      </w:pPr>
      <w:rPr>
        <w:rFonts w:ascii="Arial" w:hAnsi="Arial" w:cs="Times New Roman" w:hint="default"/>
      </w:rPr>
    </w:lvl>
    <w:lvl w:ilvl="8" w:tplc="1960D2A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05273C"/>
    <w:multiLevelType w:val="hybridMultilevel"/>
    <w:tmpl w:val="BF06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E210F5"/>
    <w:multiLevelType w:val="hybridMultilevel"/>
    <w:tmpl w:val="67128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37"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9"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0" w15:restartNumberingAfterBreak="0">
    <w:nsid w:val="65A35FD7"/>
    <w:multiLevelType w:val="hybridMultilevel"/>
    <w:tmpl w:val="3BB4D7A4"/>
    <w:lvl w:ilvl="0" w:tplc="41502510">
      <w:start w:val="1"/>
      <w:numFmt w:val="bullet"/>
      <w:lvlText w:val=""/>
      <w:lvlJc w:val="left"/>
      <w:pPr>
        <w:ind w:left="360" w:hanging="360"/>
      </w:pPr>
      <w:rPr>
        <w:rFonts w:ascii="Wingdings" w:hAnsi="Wingdings" w:hint="default"/>
      </w:rPr>
    </w:lvl>
    <w:lvl w:ilvl="1" w:tplc="207C953A">
      <w:start w:val="1"/>
      <w:numFmt w:val="bullet"/>
      <w:lvlText w:val="-"/>
      <w:lvlJc w:val="left"/>
      <w:pPr>
        <w:ind w:left="1080" w:hanging="360"/>
      </w:pPr>
      <w:rPr>
        <w:rFonts w:ascii="SimSun" w:eastAsia="SimSun" w:hAnsi="SimSun"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A312022"/>
    <w:multiLevelType w:val="hybridMultilevel"/>
    <w:tmpl w:val="BDEC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4"/>
  </w:num>
  <w:num w:numId="2" w16cid:durableId="276178333">
    <w:abstractNumId w:val="0"/>
  </w:num>
  <w:num w:numId="3" w16cid:durableId="741606055">
    <w:abstractNumId w:val="2"/>
  </w:num>
  <w:num w:numId="4" w16cid:durableId="1935287387">
    <w:abstractNumId w:val="21"/>
  </w:num>
  <w:num w:numId="5" w16cid:durableId="1753619575">
    <w:abstractNumId w:val="31"/>
  </w:num>
  <w:num w:numId="6" w16cid:durableId="528227147">
    <w:abstractNumId w:val="9"/>
  </w:num>
  <w:num w:numId="7" w16cid:durableId="1151141409">
    <w:abstractNumId w:val="35"/>
  </w:num>
  <w:num w:numId="8" w16cid:durableId="1326208731">
    <w:abstractNumId w:val="29"/>
  </w:num>
  <w:num w:numId="9" w16cid:durableId="2096242991">
    <w:abstractNumId w:val="22"/>
  </w:num>
  <w:num w:numId="10" w16cid:durableId="964656557">
    <w:abstractNumId w:val="33"/>
  </w:num>
  <w:num w:numId="11" w16cid:durableId="724842134">
    <w:abstractNumId w:val="6"/>
  </w:num>
  <w:num w:numId="12" w16cid:durableId="1263489318">
    <w:abstractNumId w:val="45"/>
  </w:num>
  <w:num w:numId="13" w16cid:durableId="1656177574">
    <w:abstractNumId w:val="4"/>
  </w:num>
  <w:num w:numId="14" w16cid:durableId="1351568597">
    <w:abstractNumId w:val="1"/>
  </w:num>
  <w:num w:numId="15" w16cid:durableId="197086569">
    <w:abstractNumId w:val="10"/>
  </w:num>
  <w:num w:numId="16" w16cid:durableId="1700426356">
    <w:abstractNumId w:val="11"/>
  </w:num>
  <w:num w:numId="17" w16cid:durableId="517815193">
    <w:abstractNumId w:val="12"/>
  </w:num>
  <w:num w:numId="18" w16cid:durableId="1275752242">
    <w:abstractNumId w:val="27"/>
  </w:num>
  <w:num w:numId="19" w16cid:durableId="1417093260">
    <w:abstractNumId w:val="20"/>
  </w:num>
  <w:num w:numId="20" w16cid:durableId="925773427">
    <w:abstractNumId w:val="43"/>
  </w:num>
  <w:num w:numId="21" w16cid:durableId="306326423">
    <w:abstractNumId w:val="3"/>
  </w:num>
  <w:num w:numId="22" w16cid:durableId="1262372539">
    <w:abstractNumId w:val="19"/>
  </w:num>
  <w:num w:numId="23" w16cid:durableId="634524535">
    <w:abstractNumId w:val="17"/>
  </w:num>
  <w:num w:numId="24" w16cid:durableId="1509710620">
    <w:abstractNumId w:val="42"/>
  </w:num>
  <w:num w:numId="25" w16cid:durableId="475488186">
    <w:abstractNumId w:val="37"/>
  </w:num>
  <w:num w:numId="26" w16cid:durableId="577984225">
    <w:abstractNumId w:val="25"/>
  </w:num>
  <w:num w:numId="27" w16cid:durableId="236524678">
    <w:abstractNumId w:val="44"/>
  </w:num>
  <w:num w:numId="28" w16cid:durableId="1915163336">
    <w:abstractNumId w:val="15"/>
  </w:num>
  <w:num w:numId="29" w16cid:durableId="1180585837">
    <w:abstractNumId w:val="16"/>
  </w:num>
  <w:num w:numId="30" w16cid:durableId="130952112">
    <w:abstractNumId w:val="36"/>
  </w:num>
  <w:num w:numId="31" w16cid:durableId="758908027">
    <w:abstractNumId w:val="38"/>
  </w:num>
  <w:num w:numId="32" w16cid:durableId="757213207">
    <w:abstractNumId w:val="24"/>
  </w:num>
  <w:num w:numId="33" w16cid:durableId="2145389002">
    <w:abstractNumId w:val="18"/>
  </w:num>
  <w:num w:numId="34" w16cid:durableId="94711358">
    <w:abstractNumId w:val="34"/>
  </w:num>
  <w:num w:numId="35" w16cid:durableId="204369298">
    <w:abstractNumId w:val="26"/>
  </w:num>
  <w:num w:numId="36" w16cid:durableId="1747649961">
    <w:abstractNumId w:val="5"/>
  </w:num>
  <w:num w:numId="37" w16cid:durableId="1422481605">
    <w:abstractNumId w:val="23"/>
  </w:num>
  <w:num w:numId="38" w16cid:durableId="1655180664">
    <w:abstractNumId w:val="41"/>
  </w:num>
  <w:num w:numId="39" w16cid:durableId="967201616">
    <w:abstractNumId w:val="7"/>
  </w:num>
  <w:num w:numId="40" w16cid:durableId="477457830">
    <w:abstractNumId w:val="40"/>
  </w:num>
  <w:num w:numId="41" w16cid:durableId="270820037">
    <w:abstractNumId w:val="8"/>
  </w:num>
  <w:num w:numId="42" w16cid:durableId="12654556">
    <w:abstractNumId w:val="32"/>
  </w:num>
  <w:num w:numId="43" w16cid:durableId="2147353398">
    <w:abstractNumId w:val="30"/>
  </w:num>
  <w:num w:numId="44" w16cid:durableId="1386295757">
    <w:abstractNumId w:val="13"/>
  </w:num>
  <w:num w:numId="45" w16cid:durableId="1916937960">
    <w:abstractNumId w:val="28"/>
  </w:num>
  <w:num w:numId="46" w16cid:durableId="19747245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031E"/>
    <w:rsid w:val="0000147F"/>
    <w:rsid w:val="000019B0"/>
    <w:rsid w:val="00002BE6"/>
    <w:rsid w:val="000044A8"/>
    <w:rsid w:val="0000481E"/>
    <w:rsid w:val="00004ACF"/>
    <w:rsid w:val="00005FC1"/>
    <w:rsid w:val="0000650D"/>
    <w:rsid w:val="00011B8F"/>
    <w:rsid w:val="00013DF7"/>
    <w:rsid w:val="00014613"/>
    <w:rsid w:val="00016AA8"/>
    <w:rsid w:val="00017C59"/>
    <w:rsid w:val="00032AAD"/>
    <w:rsid w:val="0003651D"/>
    <w:rsid w:val="00041A91"/>
    <w:rsid w:val="00042F5B"/>
    <w:rsid w:val="00042F87"/>
    <w:rsid w:val="000455BD"/>
    <w:rsid w:val="00047A99"/>
    <w:rsid w:val="00052278"/>
    <w:rsid w:val="000522DE"/>
    <w:rsid w:val="00055E51"/>
    <w:rsid w:val="00056683"/>
    <w:rsid w:val="00057B0A"/>
    <w:rsid w:val="00057DC7"/>
    <w:rsid w:val="00061B76"/>
    <w:rsid w:val="00063401"/>
    <w:rsid w:val="00067032"/>
    <w:rsid w:val="00067726"/>
    <w:rsid w:val="00067BB6"/>
    <w:rsid w:val="00071946"/>
    <w:rsid w:val="00072708"/>
    <w:rsid w:val="00072B9A"/>
    <w:rsid w:val="00073260"/>
    <w:rsid w:val="0007385C"/>
    <w:rsid w:val="000834DA"/>
    <w:rsid w:val="00086C16"/>
    <w:rsid w:val="00090BD6"/>
    <w:rsid w:val="00090EE8"/>
    <w:rsid w:val="000917FF"/>
    <w:rsid w:val="00091A74"/>
    <w:rsid w:val="00091C77"/>
    <w:rsid w:val="000929A0"/>
    <w:rsid w:val="00094DE4"/>
    <w:rsid w:val="000974FB"/>
    <w:rsid w:val="00097DDE"/>
    <w:rsid w:val="000A09FE"/>
    <w:rsid w:val="000A16A7"/>
    <w:rsid w:val="000A34CA"/>
    <w:rsid w:val="000A3B05"/>
    <w:rsid w:val="000A4149"/>
    <w:rsid w:val="000A4E78"/>
    <w:rsid w:val="000A5AEF"/>
    <w:rsid w:val="000A72FF"/>
    <w:rsid w:val="000A7D3A"/>
    <w:rsid w:val="000B386B"/>
    <w:rsid w:val="000B4BF6"/>
    <w:rsid w:val="000B6494"/>
    <w:rsid w:val="000C25FE"/>
    <w:rsid w:val="000C506B"/>
    <w:rsid w:val="000C769B"/>
    <w:rsid w:val="000E0A2F"/>
    <w:rsid w:val="000E1A1B"/>
    <w:rsid w:val="000E462D"/>
    <w:rsid w:val="000E4648"/>
    <w:rsid w:val="000F18FD"/>
    <w:rsid w:val="000F33BB"/>
    <w:rsid w:val="000F369C"/>
    <w:rsid w:val="000F5DD5"/>
    <w:rsid w:val="000F5E99"/>
    <w:rsid w:val="000F5F8C"/>
    <w:rsid w:val="00100A17"/>
    <w:rsid w:val="001021B5"/>
    <w:rsid w:val="00102A12"/>
    <w:rsid w:val="0010472D"/>
    <w:rsid w:val="00105C83"/>
    <w:rsid w:val="00110C08"/>
    <w:rsid w:val="00110C5B"/>
    <w:rsid w:val="00111952"/>
    <w:rsid w:val="0011441F"/>
    <w:rsid w:val="00115AAE"/>
    <w:rsid w:val="00116D5D"/>
    <w:rsid w:val="0011748D"/>
    <w:rsid w:val="001218B6"/>
    <w:rsid w:val="001220CC"/>
    <w:rsid w:val="00125581"/>
    <w:rsid w:val="00125EDD"/>
    <w:rsid w:val="00127E3A"/>
    <w:rsid w:val="00127E88"/>
    <w:rsid w:val="00130411"/>
    <w:rsid w:val="0013082E"/>
    <w:rsid w:val="001366E9"/>
    <w:rsid w:val="001378DA"/>
    <w:rsid w:val="00142741"/>
    <w:rsid w:val="00143A3D"/>
    <w:rsid w:val="00144977"/>
    <w:rsid w:val="001466B9"/>
    <w:rsid w:val="00146ED2"/>
    <w:rsid w:val="0014783E"/>
    <w:rsid w:val="0015101E"/>
    <w:rsid w:val="0015173A"/>
    <w:rsid w:val="00151889"/>
    <w:rsid w:val="00152001"/>
    <w:rsid w:val="00153DED"/>
    <w:rsid w:val="00154124"/>
    <w:rsid w:val="0015452C"/>
    <w:rsid w:val="001570E2"/>
    <w:rsid w:val="00157233"/>
    <w:rsid w:val="00157595"/>
    <w:rsid w:val="001627E6"/>
    <w:rsid w:val="001663D5"/>
    <w:rsid w:val="001728C6"/>
    <w:rsid w:val="0017447E"/>
    <w:rsid w:val="0017600B"/>
    <w:rsid w:val="00181A25"/>
    <w:rsid w:val="00181A2E"/>
    <w:rsid w:val="00184345"/>
    <w:rsid w:val="00186512"/>
    <w:rsid w:val="00186C55"/>
    <w:rsid w:val="00192514"/>
    <w:rsid w:val="00196223"/>
    <w:rsid w:val="001A0090"/>
    <w:rsid w:val="001A130B"/>
    <w:rsid w:val="001A1654"/>
    <w:rsid w:val="001A20BE"/>
    <w:rsid w:val="001A2B0E"/>
    <w:rsid w:val="001A2BFE"/>
    <w:rsid w:val="001A65BF"/>
    <w:rsid w:val="001A68D8"/>
    <w:rsid w:val="001A6D91"/>
    <w:rsid w:val="001A7CAE"/>
    <w:rsid w:val="001B2C4C"/>
    <w:rsid w:val="001B3DEB"/>
    <w:rsid w:val="001B6D24"/>
    <w:rsid w:val="001C0075"/>
    <w:rsid w:val="001C09FF"/>
    <w:rsid w:val="001C19F4"/>
    <w:rsid w:val="001C397C"/>
    <w:rsid w:val="001C7DE2"/>
    <w:rsid w:val="001D269E"/>
    <w:rsid w:val="001D5472"/>
    <w:rsid w:val="001E257C"/>
    <w:rsid w:val="001E3FA4"/>
    <w:rsid w:val="001E5335"/>
    <w:rsid w:val="001E591C"/>
    <w:rsid w:val="001E5E93"/>
    <w:rsid w:val="001E6DAC"/>
    <w:rsid w:val="001F204E"/>
    <w:rsid w:val="001F21B1"/>
    <w:rsid w:val="001F4057"/>
    <w:rsid w:val="001F4CBD"/>
    <w:rsid w:val="001F7C18"/>
    <w:rsid w:val="0020319C"/>
    <w:rsid w:val="0020337F"/>
    <w:rsid w:val="00205B4B"/>
    <w:rsid w:val="00206BBA"/>
    <w:rsid w:val="00212D6C"/>
    <w:rsid w:val="002131E1"/>
    <w:rsid w:val="00214068"/>
    <w:rsid w:val="00216977"/>
    <w:rsid w:val="00221CA0"/>
    <w:rsid w:val="00223D80"/>
    <w:rsid w:val="00226BAA"/>
    <w:rsid w:val="00227A45"/>
    <w:rsid w:val="0023172D"/>
    <w:rsid w:val="00233BC7"/>
    <w:rsid w:val="002404A8"/>
    <w:rsid w:val="002415E8"/>
    <w:rsid w:val="002417B5"/>
    <w:rsid w:val="00246AB4"/>
    <w:rsid w:val="002470B7"/>
    <w:rsid w:val="00247A96"/>
    <w:rsid w:val="0025250C"/>
    <w:rsid w:val="00253C88"/>
    <w:rsid w:val="00253E95"/>
    <w:rsid w:val="002559EB"/>
    <w:rsid w:val="002637E8"/>
    <w:rsid w:val="002638CA"/>
    <w:rsid w:val="00265C11"/>
    <w:rsid w:val="00266A29"/>
    <w:rsid w:val="00271968"/>
    <w:rsid w:val="002756FA"/>
    <w:rsid w:val="00275C28"/>
    <w:rsid w:val="002762D8"/>
    <w:rsid w:val="00277AFB"/>
    <w:rsid w:val="00284ADD"/>
    <w:rsid w:val="00285987"/>
    <w:rsid w:val="00285C86"/>
    <w:rsid w:val="002904E7"/>
    <w:rsid w:val="00291ECE"/>
    <w:rsid w:val="00291F95"/>
    <w:rsid w:val="0029257F"/>
    <w:rsid w:val="00292D47"/>
    <w:rsid w:val="002943F1"/>
    <w:rsid w:val="0029572B"/>
    <w:rsid w:val="002960AE"/>
    <w:rsid w:val="00296FB3"/>
    <w:rsid w:val="002A0877"/>
    <w:rsid w:val="002A0BDA"/>
    <w:rsid w:val="002A1374"/>
    <w:rsid w:val="002A16F7"/>
    <w:rsid w:val="002A48E5"/>
    <w:rsid w:val="002B2D74"/>
    <w:rsid w:val="002B35EF"/>
    <w:rsid w:val="002B3796"/>
    <w:rsid w:val="002B37C9"/>
    <w:rsid w:val="002B40AF"/>
    <w:rsid w:val="002C2E2F"/>
    <w:rsid w:val="002C42DF"/>
    <w:rsid w:val="002C652F"/>
    <w:rsid w:val="002D2181"/>
    <w:rsid w:val="002D2D6B"/>
    <w:rsid w:val="002D317B"/>
    <w:rsid w:val="002D4DE6"/>
    <w:rsid w:val="002E379C"/>
    <w:rsid w:val="002E583D"/>
    <w:rsid w:val="002E68AC"/>
    <w:rsid w:val="002E6BC8"/>
    <w:rsid w:val="002E7C21"/>
    <w:rsid w:val="002F00FB"/>
    <w:rsid w:val="002F1014"/>
    <w:rsid w:val="002F15F4"/>
    <w:rsid w:val="002F17D9"/>
    <w:rsid w:val="002F1A51"/>
    <w:rsid w:val="002F388F"/>
    <w:rsid w:val="002F3AC1"/>
    <w:rsid w:val="002F3C21"/>
    <w:rsid w:val="002F5FB5"/>
    <w:rsid w:val="002F7A8D"/>
    <w:rsid w:val="003012C0"/>
    <w:rsid w:val="00301325"/>
    <w:rsid w:val="00301757"/>
    <w:rsid w:val="00302B97"/>
    <w:rsid w:val="00304602"/>
    <w:rsid w:val="00306162"/>
    <w:rsid w:val="0030660F"/>
    <w:rsid w:val="0031035D"/>
    <w:rsid w:val="00311ED8"/>
    <w:rsid w:val="00312FF7"/>
    <w:rsid w:val="00314DA1"/>
    <w:rsid w:val="003153D4"/>
    <w:rsid w:val="0032021E"/>
    <w:rsid w:val="00320C60"/>
    <w:rsid w:val="00323010"/>
    <w:rsid w:val="00323D8C"/>
    <w:rsid w:val="00323F62"/>
    <w:rsid w:val="00324002"/>
    <w:rsid w:val="00326475"/>
    <w:rsid w:val="003268EA"/>
    <w:rsid w:val="003306D8"/>
    <w:rsid w:val="00330A63"/>
    <w:rsid w:val="00332CD5"/>
    <w:rsid w:val="00345F77"/>
    <w:rsid w:val="003504CC"/>
    <w:rsid w:val="0035595A"/>
    <w:rsid w:val="00361540"/>
    <w:rsid w:val="00362A83"/>
    <w:rsid w:val="003660D4"/>
    <w:rsid w:val="00370442"/>
    <w:rsid w:val="00370B59"/>
    <w:rsid w:val="00372120"/>
    <w:rsid w:val="00372ECA"/>
    <w:rsid w:val="0037513D"/>
    <w:rsid w:val="00375C5A"/>
    <w:rsid w:val="00377B33"/>
    <w:rsid w:val="00380DB8"/>
    <w:rsid w:val="00381737"/>
    <w:rsid w:val="00381BCC"/>
    <w:rsid w:val="00384208"/>
    <w:rsid w:val="0038687F"/>
    <w:rsid w:val="00387697"/>
    <w:rsid w:val="00387F7A"/>
    <w:rsid w:val="0039127D"/>
    <w:rsid w:val="003961D3"/>
    <w:rsid w:val="003962F9"/>
    <w:rsid w:val="0039767C"/>
    <w:rsid w:val="003A141C"/>
    <w:rsid w:val="003A3219"/>
    <w:rsid w:val="003A4916"/>
    <w:rsid w:val="003A6103"/>
    <w:rsid w:val="003A66A2"/>
    <w:rsid w:val="003B0C33"/>
    <w:rsid w:val="003B1FFF"/>
    <w:rsid w:val="003B2015"/>
    <w:rsid w:val="003B2C46"/>
    <w:rsid w:val="003B4209"/>
    <w:rsid w:val="003C091A"/>
    <w:rsid w:val="003C1676"/>
    <w:rsid w:val="003C2BE0"/>
    <w:rsid w:val="003C7439"/>
    <w:rsid w:val="003C76D2"/>
    <w:rsid w:val="003D2D56"/>
    <w:rsid w:val="003D408A"/>
    <w:rsid w:val="003D6337"/>
    <w:rsid w:val="003E0FB6"/>
    <w:rsid w:val="003E1C94"/>
    <w:rsid w:val="003E5160"/>
    <w:rsid w:val="003E5A01"/>
    <w:rsid w:val="003E5DE8"/>
    <w:rsid w:val="003F3C22"/>
    <w:rsid w:val="003F5C7C"/>
    <w:rsid w:val="004008A9"/>
    <w:rsid w:val="00400FA4"/>
    <w:rsid w:val="00401DF9"/>
    <w:rsid w:val="00404CCF"/>
    <w:rsid w:val="004054C5"/>
    <w:rsid w:val="00405F78"/>
    <w:rsid w:val="004068CA"/>
    <w:rsid w:val="00410B36"/>
    <w:rsid w:val="00411C71"/>
    <w:rsid w:val="00413764"/>
    <w:rsid w:val="00416171"/>
    <w:rsid w:val="00421DE7"/>
    <w:rsid w:val="00421E71"/>
    <w:rsid w:val="00422733"/>
    <w:rsid w:val="00422C13"/>
    <w:rsid w:val="00423F65"/>
    <w:rsid w:val="00430330"/>
    <w:rsid w:val="00431B7E"/>
    <w:rsid w:val="004327C3"/>
    <w:rsid w:val="00433B28"/>
    <w:rsid w:val="00435B1D"/>
    <w:rsid w:val="00440F03"/>
    <w:rsid w:val="0044129A"/>
    <w:rsid w:val="00442071"/>
    <w:rsid w:val="0044684E"/>
    <w:rsid w:val="00447108"/>
    <w:rsid w:val="00447153"/>
    <w:rsid w:val="004508A2"/>
    <w:rsid w:val="00453B0F"/>
    <w:rsid w:val="00453EC0"/>
    <w:rsid w:val="00454A16"/>
    <w:rsid w:val="004551E6"/>
    <w:rsid w:val="00455B95"/>
    <w:rsid w:val="00455F30"/>
    <w:rsid w:val="004563FB"/>
    <w:rsid w:val="00460441"/>
    <w:rsid w:val="00460618"/>
    <w:rsid w:val="00462DC4"/>
    <w:rsid w:val="00463908"/>
    <w:rsid w:val="0046555B"/>
    <w:rsid w:val="004700BE"/>
    <w:rsid w:val="00470751"/>
    <w:rsid w:val="00470C04"/>
    <w:rsid w:val="004721B5"/>
    <w:rsid w:val="00474BBD"/>
    <w:rsid w:val="00474F06"/>
    <w:rsid w:val="0048380B"/>
    <w:rsid w:val="0048722C"/>
    <w:rsid w:val="00487635"/>
    <w:rsid w:val="00487ED2"/>
    <w:rsid w:val="00491258"/>
    <w:rsid w:val="00492543"/>
    <w:rsid w:val="004945D2"/>
    <w:rsid w:val="00496461"/>
    <w:rsid w:val="004A1E70"/>
    <w:rsid w:val="004A4C9F"/>
    <w:rsid w:val="004A518A"/>
    <w:rsid w:val="004A56D0"/>
    <w:rsid w:val="004A7DAC"/>
    <w:rsid w:val="004B1550"/>
    <w:rsid w:val="004B1759"/>
    <w:rsid w:val="004B241C"/>
    <w:rsid w:val="004B7E65"/>
    <w:rsid w:val="004C1401"/>
    <w:rsid w:val="004C242A"/>
    <w:rsid w:val="004C2E63"/>
    <w:rsid w:val="004C38D4"/>
    <w:rsid w:val="004C474E"/>
    <w:rsid w:val="004D0585"/>
    <w:rsid w:val="004D1A5F"/>
    <w:rsid w:val="004D6A05"/>
    <w:rsid w:val="004E340F"/>
    <w:rsid w:val="004E765F"/>
    <w:rsid w:val="004F12EA"/>
    <w:rsid w:val="004F1F6B"/>
    <w:rsid w:val="004F32E7"/>
    <w:rsid w:val="004F43BC"/>
    <w:rsid w:val="004F44B3"/>
    <w:rsid w:val="004F55A5"/>
    <w:rsid w:val="004F6228"/>
    <w:rsid w:val="004F7252"/>
    <w:rsid w:val="00504082"/>
    <w:rsid w:val="005048E7"/>
    <w:rsid w:val="005079CE"/>
    <w:rsid w:val="005100A7"/>
    <w:rsid w:val="00511429"/>
    <w:rsid w:val="00512813"/>
    <w:rsid w:val="00515BC5"/>
    <w:rsid w:val="00516597"/>
    <w:rsid w:val="00516D11"/>
    <w:rsid w:val="00516DAF"/>
    <w:rsid w:val="00523634"/>
    <w:rsid w:val="00523F34"/>
    <w:rsid w:val="00524520"/>
    <w:rsid w:val="00524CBD"/>
    <w:rsid w:val="0052648A"/>
    <w:rsid w:val="00527E96"/>
    <w:rsid w:val="005327C7"/>
    <w:rsid w:val="00533F6D"/>
    <w:rsid w:val="00537055"/>
    <w:rsid w:val="0053720F"/>
    <w:rsid w:val="00540B8E"/>
    <w:rsid w:val="00543297"/>
    <w:rsid w:val="00543697"/>
    <w:rsid w:val="00543C13"/>
    <w:rsid w:val="00543E69"/>
    <w:rsid w:val="00544B1B"/>
    <w:rsid w:val="0054533E"/>
    <w:rsid w:val="005562AB"/>
    <w:rsid w:val="00556880"/>
    <w:rsid w:val="00565BFF"/>
    <w:rsid w:val="00565FD0"/>
    <w:rsid w:val="005674F3"/>
    <w:rsid w:val="005709FB"/>
    <w:rsid w:val="005722AD"/>
    <w:rsid w:val="005724F0"/>
    <w:rsid w:val="0057516E"/>
    <w:rsid w:val="00575D77"/>
    <w:rsid w:val="0057645A"/>
    <w:rsid w:val="00581FC7"/>
    <w:rsid w:val="00582C3B"/>
    <w:rsid w:val="00584CE3"/>
    <w:rsid w:val="00586E75"/>
    <w:rsid w:val="0059011D"/>
    <w:rsid w:val="00593642"/>
    <w:rsid w:val="005A5D37"/>
    <w:rsid w:val="005B0FE0"/>
    <w:rsid w:val="005B16EE"/>
    <w:rsid w:val="005B78B7"/>
    <w:rsid w:val="005C23C2"/>
    <w:rsid w:val="005C6CB9"/>
    <w:rsid w:val="005D2BF4"/>
    <w:rsid w:val="005D4AF8"/>
    <w:rsid w:val="005D66C2"/>
    <w:rsid w:val="005D6BA2"/>
    <w:rsid w:val="005D6C35"/>
    <w:rsid w:val="005E5430"/>
    <w:rsid w:val="005E5D25"/>
    <w:rsid w:val="005E737D"/>
    <w:rsid w:val="005F4555"/>
    <w:rsid w:val="005F4723"/>
    <w:rsid w:val="005F4F0C"/>
    <w:rsid w:val="005F730B"/>
    <w:rsid w:val="006053C3"/>
    <w:rsid w:val="00610F8E"/>
    <w:rsid w:val="006134C5"/>
    <w:rsid w:val="00613EFC"/>
    <w:rsid w:val="006164A5"/>
    <w:rsid w:val="00617110"/>
    <w:rsid w:val="006200C5"/>
    <w:rsid w:val="006208FC"/>
    <w:rsid w:val="0062393D"/>
    <w:rsid w:val="00623BDE"/>
    <w:rsid w:val="00623F1B"/>
    <w:rsid w:val="00626502"/>
    <w:rsid w:val="006270D4"/>
    <w:rsid w:val="00631101"/>
    <w:rsid w:val="00632B2E"/>
    <w:rsid w:val="00633543"/>
    <w:rsid w:val="00633FA6"/>
    <w:rsid w:val="00645B8E"/>
    <w:rsid w:val="0064631E"/>
    <w:rsid w:val="00651D2E"/>
    <w:rsid w:val="00652E97"/>
    <w:rsid w:val="00655C7E"/>
    <w:rsid w:val="00655EE9"/>
    <w:rsid w:val="00660364"/>
    <w:rsid w:val="00660A6C"/>
    <w:rsid w:val="0066144D"/>
    <w:rsid w:val="00661949"/>
    <w:rsid w:val="00662CF9"/>
    <w:rsid w:val="00662E4D"/>
    <w:rsid w:val="00664464"/>
    <w:rsid w:val="006654A7"/>
    <w:rsid w:val="0066774C"/>
    <w:rsid w:val="00667B84"/>
    <w:rsid w:val="00670602"/>
    <w:rsid w:val="00671239"/>
    <w:rsid w:val="006714AB"/>
    <w:rsid w:val="00671CAC"/>
    <w:rsid w:val="00672287"/>
    <w:rsid w:val="006732F1"/>
    <w:rsid w:val="006736CA"/>
    <w:rsid w:val="006738CE"/>
    <w:rsid w:val="00673909"/>
    <w:rsid w:val="006740A1"/>
    <w:rsid w:val="006743C9"/>
    <w:rsid w:val="0067546A"/>
    <w:rsid w:val="006777D9"/>
    <w:rsid w:val="006806FC"/>
    <w:rsid w:val="006818F8"/>
    <w:rsid w:val="006835D9"/>
    <w:rsid w:val="006844CD"/>
    <w:rsid w:val="006863A9"/>
    <w:rsid w:val="00690ED5"/>
    <w:rsid w:val="00692032"/>
    <w:rsid w:val="00692D7D"/>
    <w:rsid w:val="00692E50"/>
    <w:rsid w:val="00696785"/>
    <w:rsid w:val="0069733C"/>
    <w:rsid w:val="006A4ACB"/>
    <w:rsid w:val="006A7447"/>
    <w:rsid w:val="006A7EB7"/>
    <w:rsid w:val="006B0E0F"/>
    <w:rsid w:val="006B2638"/>
    <w:rsid w:val="006B494E"/>
    <w:rsid w:val="006B658F"/>
    <w:rsid w:val="006C4D1D"/>
    <w:rsid w:val="006C5153"/>
    <w:rsid w:val="006C6739"/>
    <w:rsid w:val="006C6FAA"/>
    <w:rsid w:val="006D147A"/>
    <w:rsid w:val="006D654D"/>
    <w:rsid w:val="006D7E0B"/>
    <w:rsid w:val="006E01E2"/>
    <w:rsid w:val="006E091F"/>
    <w:rsid w:val="006E0AE9"/>
    <w:rsid w:val="006E0E4A"/>
    <w:rsid w:val="006E0ECA"/>
    <w:rsid w:val="006F5E90"/>
    <w:rsid w:val="006F6283"/>
    <w:rsid w:val="006F7A87"/>
    <w:rsid w:val="0070011A"/>
    <w:rsid w:val="007018D8"/>
    <w:rsid w:val="00705014"/>
    <w:rsid w:val="00706093"/>
    <w:rsid w:val="0070632C"/>
    <w:rsid w:val="00712641"/>
    <w:rsid w:val="0071645F"/>
    <w:rsid w:val="00716E87"/>
    <w:rsid w:val="00717CF8"/>
    <w:rsid w:val="0072106E"/>
    <w:rsid w:val="00721EF6"/>
    <w:rsid w:val="00722632"/>
    <w:rsid w:val="00724EB3"/>
    <w:rsid w:val="00731254"/>
    <w:rsid w:val="007332CF"/>
    <w:rsid w:val="00740A6B"/>
    <w:rsid w:val="00742660"/>
    <w:rsid w:val="007437C7"/>
    <w:rsid w:val="007468D5"/>
    <w:rsid w:val="007476AE"/>
    <w:rsid w:val="00747E01"/>
    <w:rsid w:val="00752664"/>
    <w:rsid w:val="00752961"/>
    <w:rsid w:val="00753211"/>
    <w:rsid w:val="007535C5"/>
    <w:rsid w:val="00761BEE"/>
    <w:rsid w:val="00762038"/>
    <w:rsid w:val="007621D1"/>
    <w:rsid w:val="007659DB"/>
    <w:rsid w:val="00767F62"/>
    <w:rsid w:val="00771053"/>
    <w:rsid w:val="00773780"/>
    <w:rsid w:val="007750C2"/>
    <w:rsid w:val="00775EC7"/>
    <w:rsid w:val="00777B8E"/>
    <w:rsid w:val="00781BA5"/>
    <w:rsid w:val="00781D09"/>
    <w:rsid w:val="00785DAC"/>
    <w:rsid w:val="00785F62"/>
    <w:rsid w:val="0079084A"/>
    <w:rsid w:val="0079213A"/>
    <w:rsid w:val="00792C2C"/>
    <w:rsid w:val="00795A49"/>
    <w:rsid w:val="00795BE4"/>
    <w:rsid w:val="00795E08"/>
    <w:rsid w:val="0079774D"/>
    <w:rsid w:val="007A0996"/>
    <w:rsid w:val="007A0E52"/>
    <w:rsid w:val="007A4AC3"/>
    <w:rsid w:val="007A6C9E"/>
    <w:rsid w:val="007A7B1A"/>
    <w:rsid w:val="007B160D"/>
    <w:rsid w:val="007B1D7E"/>
    <w:rsid w:val="007B3424"/>
    <w:rsid w:val="007C1928"/>
    <w:rsid w:val="007C34E8"/>
    <w:rsid w:val="007C3947"/>
    <w:rsid w:val="007C3F07"/>
    <w:rsid w:val="007C7247"/>
    <w:rsid w:val="007D1617"/>
    <w:rsid w:val="007D24A9"/>
    <w:rsid w:val="007D2DCE"/>
    <w:rsid w:val="007D4C04"/>
    <w:rsid w:val="007D5CA3"/>
    <w:rsid w:val="007D7377"/>
    <w:rsid w:val="007D78D4"/>
    <w:rsid w:val="007E1ABB"/>
    <w:rsid w:val="007E2357"/>
    <w:rsid w:val="007E3189"/>
    <w:rsid w:val="007E49C0"/>
    <w:rsid w:val="007F051E"/>
    <w:rsid w:val="007F05E0"/>
    <w:rsid w:val="007F113C"/>
    <w:rsid w:val="007F13E3"/>
    <w:rsid w:val="007F2219"/>
    <w:rsid w:val="007F48C9"/>
    <w:rsid w:val="007F6382"/>
    <w:rsid w:val="007F6BB3"/>
    <w:rsid w:val="008002FF"/>
    <w:rsid w:val="00801478"/>
    <w:rsid w:val="00803156"/>
    <w:rsid w:val="00803799"/>
    <w:rsid w:val="00804D46"/>
    <w:rsid w:val="00807989"/>
    <w:rsid w:val="008100D1"/>
    <w:rsid w:val="008110AB"/>
    <w:rsid w:val="00813472"/>
    <w:rsid w:val="00815D1E"/>
    <w:rsid w:val="0081617E"/>
    <w:rsid w:val="008166F1"/>
    <w:rsid w:val="00816D3E"/>
    <w:rsid w:val="00821175"/>
    <w:rsid w:val="0082235C"/>
    <w:rsid w:val="008245FD"/>
    <w:rsid w:val="00825F5E"/>
    <w:rsid w:val="00830C64"/>
    <w:rsid w:val="00832EC3"/>
    <w:rsid w:val="00834338"/>
    <w:rsid w:val="00834A85"/>
    <w:rsid w:val="00835114"/>
    <w:rsid w:val="00835E86"/>
    <w:rsid w:val="00842A28"/>
    <w:rsid w:val="008430CF"/>
    <w:rsid w:val="00843C5B"/>
    <w:rsid w:val="00844A23"/>
    <w:rsid w:val="00844A66"/>
    <w:rsid w:val="00846D88"/>
    <w:rsid w:val="00853714"/>
    <w:rsid w:val="00857478"/>
    <w:rsid w:val="008579BB"/>
    <w:rsid w:val="00860B26"/>
    <w:rsid w:val="008626D8"/>
    <w:rsid w:val="00863B9B"/>
    <w:rsid w:val="00865FED"/>
    <w:rsid w:val="00870588"/>
    <w:rsid w:val="00875E59"/>
    <w:rsid w:val="008760A9"/>
    <w:rsid w:val="0087700D"/>
    <w:rsid w:val="0087734B"/>
    <w:rsid w:val="00882243"/>
    <w:rsid w:val="00882D16"/>
    <w:rsid w:val="008846AC"/>
    <w:rsid w:val="008849E7"/>
    <w:rsid w:val="00890214"/>
    <w:rsid w:val="00891F8B"/>
    <w:rsid w:val="00896DC4"/>
    <w:rsid w:val="0089771A"/>
    <w:rsid w:val="008A4435"/>
    <w:rsid w:val="008A589E"/>
    <w:rsid w:val="008A62F0"/>
    <w:rsid w:val="008A685F"/>
    <w:rsid w:val="008B00FC"/>
    <w:rsid w:val="008B099F"/>
    <w:rsid w:val="008B2997"/>
    <w:rsid w:val="008C0C02"/>
    <w:rsid w:val="008C3AD3"/>
    <w:rsid w:val="008C521D"/>
    <w:rsid w:val="008C694A"/>
    <w:rsid w:val="008C7636"/>
    <w:rsid w:val="008C774C"/>
    <w:rsid w:val="008C7AB8"/>
    <w:rsid w:val="008C7DD3"/>
    <w:rsid w:val="008D146F"/>
    <w:rsid w:val="008D17B6"/>
    <w:rsid w:val="008D1B32"/>
    <w:rsid w:val="008D6DE6"/>
    <w:rsid w:val="008E41B5"/>
    <w:rsid w:val="008F0628"/>
    <w:rsid w:val="008F1778"/>
    <w:rsid w:val="008F7F91"/>
    <w:rsid w:val="009015C8"/>
    <w:rsid w:val="00902C84"/>
    <w:rsid w:val="00903010"/>
    <w:rsid w:val="00904E4C"/>
    <w:rsid w:val="009055E8"/>
    <w:rsid w:val="009056A3"/>
    <w:rsid w:val="0090669B"/>
    <w:rsid w:val="00911F8D"/>
    <w:rsid w:val="009169F8"/>
    <w:rsid w:val="00917A6D"/>
    <w:rsid w:val="00923C8A"/>
    <w:rsid w:val="00925A3A"/>
    <w:rsid w:val="0093160D"/>
    <w:rsid w:val="0093198E"/>
    <w:rsid w:val="009331CD"/>
    <w:rsid w:val="00936DCA"/>
    <w:rsid w:val="0093716A"/>
    <w:rsid w:val="009371C3"/>
    <w:rsid w:val="00940D56"/>
    <w:rsid w:val="009425F5"/>
    <w:rsid w:val="00943501"/>
    <w:rsid w:val="00943DBF"/>
    <w:rsid w:val="00944372"/>
    <w:rsid w:val="00946833"/>
    <w:rsid w:val="00947E40"/>
    <w:rsid w:val="00951275"/>
    <w:rsid w:val="009534D5"/>
    <w:rsid w:val="0095531A"/>
    <w:rsid w:val="009566EB"/>
    <w:rsid w:val="00957BDF"/>
    <w:rsid w:val="00957D4A"/>
    <w:rsid w:val="00963F51"/>
    <w:rsid w:val="00965782"/>
    <w:rsid w:val="0097073F"/>
    <w:rsid w:val="00970B89"/>
    <w:rsid w:val="0097247E"/>
    <w:rsid w:val="00975340"/>
    <w:rsid w:val="00975639"/>
    <w:rsid w:val="00976C3B"/>
    <w:rsid w:val="00980B71"/>
    <w:rsid w:val="00980E10"/>
    <w:rsid w:val="009813F5"/>
    <w:rsid w:val="009831BA"/>
    <w:rsid w:val="00984537"/>
    <w:rsid w:val="00984EB9"/>
    <w:rsid w:val="009853FE"/>
    <w:rsid w:val="00986194"/>
    <w:rsid w:val="00992C1F"/>
    <w:rsid w:val="00995756"/>
    <w:rsid w:val="00995E8B"/>
    <w:rsid w:val="00996026"/>
    <w:rsid w:val="009A02C9"/>
    <w:rsid w:val="009A03B9"/>
    <w:rsid w:val="009A0569"/>
    <w:rsid w:val="009A07CB"/>
    <w:rsid w:val="009A1091"/>
    <w:rsid w:val="009A16BA"/>
    <w:rsid w:val="009A5E28"/>
    <w:rsid w:val="009A60A9"/>
    <w:rsid w:val="009A6E6F"/>
    <w:rsid w:val="009A7B74"/>
    <w:rsid w:val="009A7DD3"/>
    <w:rsid w:val="009B0285"/>
    <w:rsid w:val="009B13F2"/>
    <w:rsid w:val="009B1EE7"/>
    <w:rsid w:val="009B6D4E"/>
    <w:rsid w:val="009B7A1D"/>
    <w:rsid w:val="009C07A6"/>
    <w:rsid w:val="009C497B"/>
    <w:rsid w:val="009C5F28"/>
    <w:rsid w:val="009D27A9"/>
    <w:rsid w:val="009D55AB"/>
    <w:rsid w:val="009D5DDF"/>
    <w:rsid w:val="009D72F2"/>
    <w:rsid w:val="009D73BB"/>
    <w:rsid w:val="009D7414"/>
    <w:rsid w:val="009D7F37"/>
    <w:rsid w:val="009E11C7"/>
    <w:rsid w:val="009E32FD"/>
    <w:rsid w:val="009E5680"/>
    <w:rsid w:val="009F0A94"/>
    <w:rsid w:val="009F0E80"/>
    <w:rsid w:val="009F0F3F"/>
    <w:rsid w:val="009F1412"/>
    <w:rsid w:val="009F61B4"/>
    <w:rsid w:val="009F63FF"/>
    <w:rsid w:val="00A00196"/>
    <w:rsid w:val="00A036A7"/>
    <w:rsid w:val="00A039D4"/>
    <w:rsid w:val="00A04D3D"/>
    <w:rsid w:val="00A13867"/>
    <w:rsid w:val="00A13B1E"/>
    <w:rsid w:val="00A14B20"/>
    <w:rsid w:val="00A14E68"/>
    <w:rsid w:val="00A1782B"/>
    <w:rsid w:val="00A22A4B"/>
    <w:rsid w:val="00A242D4"/>
    <w:rsid w:val="00A24DE2"/>
    <w:rsid w:val="00A25A5D"/>
    <w:rsid w:val="00A27763"/>
    <w:rsid w:val="00A30F78"/>
    <w:rsid w:val="00A33217"/>
    <w:rsid w:val="00A333A3"/>
    <w:rsid w:val="00A35A32"/>
    <w:rsid w:val="00A35EA7"/>
    <w:rsid w:val="00A37CEF"/>
    <w:rsid w:val="00A40FC3"/>
    <w:rsid w:val="00A41155"/>
    <w:rsid w:val="00A41283"/>
    <w:rsid w:val="00A50F73"/>
    <w:rsid w:val="00A5423E"/>
    <w:rsid w:val="00A55A74"/>
    <w:rsid w:val="00A5655B"/>
    <w:rsid w:val="00A570B8"/>
    <w:rsid w:val="00A62545"/>
    <w:rsid w:val="00A65A36"/>
    <w:rsid w:val="00A664AF"/>
    <w:rsid w:val="00A701A8"/>
    <w:rsid w:val="00A70475"/>
    <w:rsid w:val="00A710B2"/>
    <w:rsid w:val="00A7302A"/>
    <w:rsid w:val="00A74355"/>
    <w:rsid w:val="00A76626"/>
    <w:rsid w:val="00A7799D"/>
    <w:rsid w:val="00A8049D"/>
    <w:rsid w:val="00A82142"/>
    <w:rsid w:val="00A91E13"/>
    <w:rsid w:val="00A93329"/>
    <w:rsid w:val="00A96DB3"/>
    <w:rsid w:val="00A9764F"/>
    <w:rsid w:val="00A97C8B"/>
    <w:rsid w:val="00AA27C5"/>
    <w:rsid w:val="00AA4779"/>
    <w:rsid w:val="00AA6CCC"/>
    <w:rsid w:val="00AA6F1F"/>
    <w:rsid w:val="00AC08F0"/>
    <w:rsid w:val="00AC7ACA"/>
    <w:rsid w:val="00AD00EB"/>
    <w:rsid w:val="00AD01AE"/>
    <w:rsid w:val="00AD24CA"/>
    <w:rsid w:val="00AD334B"/>
    <w:rsid w:val="00AD535E"/>
    <w:rsid w:val="00AD546F"/>
    <w:rsid w:val="00AD5592"/>
    <w:rsid w:val="00AD55E4"/>
    <w:rsid w:val="00AE094A"/>
    <w:rsid w:val="00AE0E69"/>
    <w:rsid w:val="00AE25EC"/>
    <w:rsid w:val="00AE2FA5"/>
    <w:rsid w:val="00AE7B6E"/>
    <w:rsid w:val="00AF207B"/>
    <w:rsid w:val="00AF2ADB"/>
    <w:rsid w:val="00AF3341"/>
    <w:rsid w:val="00AF54AA"/>
    <w:rsid w:val="00AF5780"/>
    <w:rsid w:val="00AF6269"/>
    <w:rsid w:val="00B0062D"/>
    <w:rsid w:val="00B05187"/>
    <w:rsid w:val="00B05DBE"/>
    <w:rsid w:val="00B066C5"/>
    <w:rsid w:val="00B074C7"/>
    <w:rsid w:val="00B12567"/>
    <w:rsid w:val="00B15440"/>
    <w:rsid w:val="00B172AD"/>
    <w:rsid w:val="00B17B56"/>
    <w:rsid w:val="00B22FF7"/>
    <w:rsid w:val="00B2647F"/>
    <w:rsid w:val="00B30BFD"/>
    <w:rsid w:val="00B31701"/>
    <w:rsid w:val="00B31A17"/>
    <w:rsid w:val="00B3318F"/>
    <w:rsid w:val="00B35350"/>
    <w:rsid w:val="00B36C1F"/>
    <w:rsid w:val="00B41221"/>
    <w:rsid w:val="00B41C5A"/>
    <w:rsid w:val="00B42B77"/>
    <w:rsid w:val="00B42D57"/>
    <w:rsid w:val="00B42E35"/>
    <w:rsid w:val="00B4571C"/>
    <w:rsid w:val="00B54521"/>
    <w:rsid w:val="00B557B0"/>
    <w:rsid w:val="00B567A7"/>
    <w:rsid w:val="00B57EDA"/>
    <w:rsid w:val="00B62CB2"/>
    <w:rsid w:val="00B6421A"/>
    <w:rsid w:val="00B64F7C"/>
    <w:rsid w:val="00B66828"/>
    <w:rsid w:val="00B671A2"/>
    <w:rsid w:val="00B70F08"/>
    <w:rsid w:val="00B71816"/>
    <w:rsid w:val="00B71B6F"/>
    <w:rsid w:val="00B71BD6"/>
    <w:rsid w:val="00B737FE"/>
    <w:rsid w:val="00B817DE"/>
    <w:rsid w:val="00B8218A"/>
    <w:rsid w:val="00B82C20"/>
    <w:rsid w:val="00B83A19"/>
    <w:rsid w:val="00B91F76"/>
    <w:rsid w:val="00B93FE0"/>
    <w:rsid w:val="00B9598C"/>
    <w:rsid w:val="00B9607E"/>
    <w:rsid w:val="00BA1558"/>
    <w:rsid w:val="00BA2174"/>
    <w:rsid w:val="00BA47F6"/>
    <w:rsid w:val="00BA5C0F"/>
    <w:rsid w:val="00BB218D"/>
    <w:rsid w:val="00BC252C"/>
    <w:rsid w:val="00BC26B2"/>
    <w:rsid w:val="00BC2793"/>
    <w:rsid w:val="00BC4890"/>
    <w:rsid w:val="00BD759D"/>
    <w:rsid w:val="00BE3FAC"/>
    <w:rsid w:val="00BE4C1E"/>
    <w:rsid w:val="00BF05C4"/>
    <w:rsid w:val="00C01F44"/>
    <w:rsid w:val="00C06131"/>
    <w:rsid w:val="00C12492"/>
    <w:rsid w:val="00C13350"/>
    <w:rsid w:val="00C1392C"/>
    <w:rsid w:val="00C13CB0"/>
    <w:rsid w:val="00C1488F"/>
    <w:rsid w:val="00C14AED"/>
    <w:rsid w:val="00C158D6"/>
    <w:rsid w:val="00C22636"/>
    <w:rsid w:val="00C23BFC"/>
    <w:rsid w:val="00C2424C"/>
    <w:rsid w:val="00C36DCF"/>
    <w:rsid w:val="00C4118D"/>
    <w:rsid w:val="00C42B27"/>
    <w:rsid w:val="00C43266"/>
    <w:rsid w:val="00C43F26"/>
    <w:rsid w:val="00C45841"/>
    <w:rsid w:val="00C46FAB"/>
    <w:rsid w:val="00C476F7"/>
    <w:rsid w:val="00C528A8"/>
    <w:rsid w:val="00C60611"/>
    <w:rsid w:val="00C6323A"/>
    <w:rsid w:val="00C65433"/>
    <w:rsid w:val="00C71620"/>
    <w:rsid w:val="00C72CEE"/>
    <w:rsid w:val="00C73C7F"/>
    <w:rsid w:val="00C77A87"/>
    <w:rsid w:val="00C802F7"/>
    <w:rsid w:val="00C8235D"/>
    <w:rsid w:val="00C82626"/>
    <w:rsid w:val="00C85067"/>
    <w:rsid w:val="00C97E22"/>
    <w:rsid w:val="00CA17E3"/>
    <w:rsid w:val="00CA2373"/>
    <w:rsid w:val="00CA317D"/>
    <w:rsid w:val="00CA5FF3"/>
    <w:rsid w:val="00CB0FB6"/>
    <w:rsid w:val="00CB4FFF"/>
    <w:rsid w:val="00CC1A2D"/>
    <w:rsid w:val="00CC205D"/>
    <w:rsid w:val="00CC3573"/>
    <w:rsid w:val="00CC3ED4"/>
    <w:rsid w:val="00CC5B9A"/>
    <w:rsid w:val="00CC6801"/>
    <w:rsid w:val="00CC6DC4"/>
    <w:rsid w:val="00CD37A2"/>
    <w:rsid w:val="00CD5FEF"/>
    <w:rsid w:val="00CE0B09"/>
    <w:rsid w:val="00CE3303"/>
    <w:rsid w:val="00CE420F"/>
    <w:rsid w:val="00CE6268"/>
    <w:rsid w:val="00CE7110"/>
    <w:rsid w:val="00CE7266"/>
    <w:rsid w:val="00CE7726"/>
    <w:rsid w:val="00CF1841"/>
    <w:rsid w:val="00CF1FF0"/>
    <w:rsid w:val="00CF2798"/>
    <w:rsid w:val="00CF31EB"/>
    <w:rsid w:val="00CF325A"/>
    <w:rsid w:val="00CF3E04"/>
    <w:rsid w:val="00CF75D3"/>
    <w:rsid w:val="00D02DBC"/>
    <w:rsid w:val="00D10D18"/>
    <w:rsid w:val="00D10D93"/>
    <w:rsid w:val="00D11AD1"/>
    <w:rsid w:val="00D12FD8"/>
    <w:rsid w:val="00D145BB"/>
    <w:rsid w:val="00D17DE3"/>
    <w:rsid w:val="00D2249C"/>
    <w:rsid w:val="00D2345C"/>
    <w:rsid w:val="00D25786"/>
    <w:rsid w:val="00D25E76"/>
    <w:rsid w:val="00D271BC"/>
    <w:rsid w:val="00D316A1"/>
    <w:rsid w:val="00D3294A"/>
    <w:rsid w:val="00D3736F"/>
    <w:rsid w:val="00D41192"/>
    <w:rsid w:val="00D41EF9"/>
    <w:rsid w:val="00D43687"/>
    <w:rsid w:val="00D44995"/>
    <w:rsid w:val="00D451B6"/>
    <w:rsid w:val="00D45E08"/>
    <w:rsid w:val="00D503FF"/>
    <w:rsid w:val="00D5141A"/>
    <w:rsid w:val="00D521D8"/>
    <w:rsid w:val="00D55811"/>
    <w:rsid w:val="00D60509"/>
    <w:rsid w:val="00D60D29"/>
    <w:rsid w:val="00D64CA2"/>
    <w:rsid w:val="00D66E9A"/>
    <w:rsid w:val="00D67517"/>
    <w:rsid w:val="00D73A82"/>
    <w:rsid w:val="00D73B7B"/>
    <w:rsid w:val="00D75D59"/>
    <w:rsid w:val="00D817BD"/>
    <w:rsid w:val="00D83111"/>
    <w:rsid w:val="00D83606"/>
    <w:rsid w:val="00D838FE"/>
    <w:rsid w:val="00D84420"/>
    <w:rsid w:val="00D8472B"/>
    <w:rsid w:val="00D85A21"/>
    <w:rsid w:val="00D86A66"/>
    <w:rsid w:val="00D932AD"/>
    <w:rsid w:val="00D944EC"/>
    <w:rsid w:val="00D96F43"/>
    <w:rsid w:val="00D97587"/>
    <w:rsid w:val="00DA31C3"/>
    <w:rsid w:val="00DA330F"/>
    <w:rsid w:val="00DA7161"/>
    <w:rsid w:val="00DB2895"/>
    <w:rsid w:val="00DB2F65"/>
    <w:rsid w:val="00DB4A50"/>
    <w:rsid w:val="00DB4ACF"/>
    <w:rsid w:val="00DC004D"/>
    <w:rsid w:val="00DC0818"/>
    <w:rsid w:val="00DC137D"/>
    <w:rsid w:val="00DC5A06"/>
    <w:rsid w:val="00DC720A"/>
    <w:rsid w:val="00DD1183"/>
    <w:rsid w:val="00DE138D"/>
    <w:rsid w:val="00DE2ABE"/>
    <w:rsid w:val="00DE362D"/>
    <w:rsid w:val="00DE3962"/>
    <w:rsid w:val="00DE3FC7"/>
    <w:rsid w:val="00DF1262"/>
    <w:rsid w:val="00DF16F4"/>
    <w:rsid w:val="00DF2990"/>
    <w:rsid w:val="00DF53AD"/>
    <w:rsid w:val="00DF5614"/>
    <w:rsid w:val="00E0089C"/>
    <w:rsid w:val="00E02445"/>
    <w:rsid w:val="00E0451E"/>
    <w:rsid w:val="00E059A4"/>
    <w:rsid w:val="00E16D18"/>
    <w:rsid w:val="00E1734B"/>
    <w:rsid w:val="00E20C4C"/>
    <w:rsid w:val="00E20DB0"/>
    <w:rsid w:val="00E210C6"/>
    <w:rsid w:val="00E21DDF"/>
    <w:rsid w:val="00E23450"/>
    <w:rsid w:val="00E242F2"/>
    <w:rsid w:val="00E24610"/>
    <w:rsid w:val="00E25ADE"/>
    <w:rsid w:val="00E2661D"/>
    <w:rsid w:val="00E30303"/>
    <w:rsid w:val="00E307AE"/>
    <w:rsid w:val="00E324D7"/>
    <w:rsid w:val="00E34818"/>
    <w:rsid w:val="00E3504A"/>
    <w:rsid w:val="00E36B1F"/>
    <w:rsid w:val="00E4434F"/>
    <w:rsid w:val="00E46213"/>
    <w:rsid w:val="00E51887"/>
    <w:rsid w:val="00E5288D"/>
    <w:rsid w:val="00E53502"/>
    <w:rsid w:val="00E53CD0"/>
    <w:rsid w:val="00E5443F"/>
    <w:rsid w:val="00E54DFC"/>
    <w:rsid w:val="00E56F2C"/>
    <w:rsid w:val="00E57003"/>
    <w:rsid w:val="00E5796C"/>
    <w:rsid w:val="00E664AC"/>
    <w:rsid w:val="00E706C0"/>
    <w:rsid w:val="00E70E18"/>
    <w:rsid w:val="00E70FF1"/>
    <w:rsid w:val="00E72958"/>
    <w:rsid w:val="00E7489C"/>
    <w:rsid w:val="00E751F4"/>
    <w:rsid w:val="00E76E43"/>
    <w:rsid w:val="00E77981"/>
    <w:rsid w:val="00E807AC"/>
    <w:rsid w:val="00E84940"/>
    <w:rsid w:val="00E8553E"/>
    <w:rsid w:val="00E86C76"/>
    <w:rsid w:val="00E908ED"/>
    <w:rsid w:val="00E912F8"/>
    <w:rsid w:val="00E9203B"/>
    <w:rsid w:val="00E94469"/>
    <w:rsid w:val="00E950D9"/>
    <w:rsid w:val="00E95663"/>
    <w:rsid w:val="00E97104"/>
    <w:rsid w:val="00E971FC"/>
    <w:rsid w:val="00E9791D"/>
    <w:rsid w:val="00EA339B"/>
    <w:rsid w:val="00EA3AA0"/>
    <w:rsid w:val="00EA3C4E"/>
    <w:rsid w:val="00EA3E28"/>
    <w:rsid w:val="00EA6813"/>
    <w:rsid w:val="00EA73A1"/>
    <w:rsid w:val="00EB3F46"/>
    <w:rsid w:val="00EB4640"/>
    <w:rsid w:val="00EB7153"/>
    <w:rsid w:val="00EB780D"/>
    <w:rsid w:val="00EC467A"/>
    <w:rsid w:val="00ED212D"/>
    <w:rsid w:val="00ED2E78"/>
    <w:rsid w:val="00ED52B0"/>
    <w:rsid w:val="00ED61C6"/>
    <w:rsid w:val="00ED6938"/>
    <w:rsid w:val="00ED6BE3"/>
    <w:rsid w:val="00ED7681"/>
    <w:rsid w:val="00EE146F"/>
    <w:rsid w:val="00EE2C77"/>
    <w:rsid w:val="00EE35E9"/>
    <w:rsid w:val="00EE5474"/>
    <w:rsid w:val="00EE6398"/>
    <w:rsid w:val="00EE63D2"/>
    <w:rsid w:val="00EE792E"/>
    <w:rsid w:val="00EF0E4F"/>
    <w:rsid w:val="00EF391B"/>
    <w:rsid w:val="00EF442F"/>
    <w:rsid w:val="00EF49CD"/>
    <w:rsid w:val="00EF6489"/>
    <w:rsid w:val="00F0171B"/>
    <w:rsid w:val="00F0289F"/>
    <w:rsid w:val="00F0613B"/>
    <w:rsid w:val="00F10AFF"/>
    <w:rsid w:val="00F1115E"/>
    <w:rsid w:val="00F11B88"/>
    <w:rsid w:val="00F12745"/>
    <w:rsid w:val="00F147DC"/>
    <w:rsid w:val="00F15E15"/>
    <w:rsid w:val="00F165C8"/>
    <w:rsid w:val="00F1754E"/>
    <w:rsid w:val="00F218E6"/>
    <w:rsid w:val="00F21CF1"/>
    <w:rsid w:val="00F220A3"/>
    <w:rsid w:val="00F2544A"/>
    <w:rsid w:val="00F31311"/>
    <w:rsid w:val="00F35632"/>
    <w:rsid w:val="00F363C2"/>
    <w:rsid w:val="00F36755"/>
    <w:rsid w:val="00F37686"/>
    <w:rsid w:val="00F41331"/>
    <w:rsid w:val="00F425B6"/>
    <w:rsid w:val="00F44EF7"/>
    <w:rsid w:val="00F46982"/>
    <w:rsid w:val="00F5202F"/>
    <w:rsid w:val="00F53396"/>
    <w:rsid w:val="00F5459B"/>
    <w:rsid w:val="00F54B04"/>
    <w:rsid w:val="00F60CFC"/>
    <w:rsid w:val="00F61C50"/>
    <w:rsid w:val="00F62BC8"/>
    <w:rsid w:val="00F630AF"/>
    <w:rsid w:val="00F652C1"/>
    <w:rsid w:val="00F66252"/>
    <w:rsid w:val="00F67C0C"/>
    <w:rsid w:val="00F701A6"/>
    <w:rsid w:val="00F71F3C"/>
    <w:rsid w:val="00F73A29"/>
    <w:rsid w:val="00F74497"/>
    <w:rsid w:val="00F752DC"/>
    <w:rsid w:val="00F77496"/>
    <w:rsid w:val="00F77D71"/>
    <w:rsid w:val="00F77E80"/>
    <w:rsid w:val="00F80971"/>
    <w:rsid w:val="00F80CD5"/>
    <w:rsid w:val="00F8145A"/>
    <w:rsid w:val="00F83826"/>
    <w:rsid w:val="00F83B0C"/>
    <w:rsid w:val="00F83F1C"/>
    <w:rsid w:val="00F844D7"/>
    <w:rsid w:val="00F9267D"/>
    <w:rsid w:val="00F9342B"/>
    <w:rsid w:val="00F965A9"/>
    <w:rsid w:val="00F97406"/>
    <w:rsid w:val="00FA2618"/>
    <w:rsid w:val="00FA3338"/>
    <w:rsid w:val="00FA540F"/>
    <w:rsid w:val="00FB016E"/>
    <w:rsid w:val="00FB35CF"/>
    <w:rsid w:val="00FB6173"/>
    <w:rsid w:val="00FB6749"/>
    <w:rsid w:val="00FC2078"/>
    <w:rsid w:val="00FC6786"/>
    <w:rsid w:val="00FC7347"/>
    <w:rsid w:val="00FD4ED9"/>
    <w:rsid w:val="00FD56B2"/>
    <w:rsid w:val="00FD76DF"/>
    <w:rsid w:val="00FE1885"/>
    <w:rsid w:val="00FE1BC4"/>
    <w:rsid w:val="00FE1E19"/>
    <w:rsid w:val="00FE2D58"/>
    <w:rsid w:val="00FE6607"/>
    <w:rsid w:val="00FF4E7E"/>
    <w:rsid w:val="00FF56DC"/>
    <w:rsid w:val="00FF618F"/>
    <w:rsid w:val="00FF6D52"/>
    <w:rsid w:val="00FF7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88160">
      <w:bodyDiv w:val="1"/>
      <w:marLeft w:val="0"/>
      <w:marRight w:val="0"/>
      <w:marTop w:val="0"/>
      <w:marBottom w:val="0"/>
      <w:divBdr>
        <w:top w:val="none" w:sz="0" w:space="0" w:color="auto"/>
        <w:left w:val="none" w:sz="0" w:space="0" w:color="auto"/>
        <w:bottom w:val="none" w:sz="0" w:space="0" w:color="auto"/>
        <w:right w:val="none" w:sz="0" w:space="0" w:color="auto"/>
      </w:divBdr>
    </w:div>
    <w:div w:id="332150228">
      <w:bodyDiv w:val="1"/>
      <w:marLeft w:val="0"/>
      <w:marRight w:val="0"/>
      <w:marTop w:val="0"/>
      <w:marBottom w:val="0"/>
      <w:divBdr>
        <w:top w:val="none" w:sz="0" w:space="0" w:color="auto"/>
        <w:left w:val="none" w:sz="0" w:space="0" w:color="auto"/>
        <w:bottom w:val="none" w:sz="0" w:space="0" w:color="auto"/>
        <w:right w:val="none" w:sz="0" w:space="0" w:color="auto"/>
      </w:divBdr>
    </w:div>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45147797">
      <w:bodyDiv w:val="1"/>
      <w:marLeft w:val="0"/>
      <w:marRight w:val="0"/>
      <w:marTop w:val="0"/>
      <w:marBottom w:val="0"/>
      <w:divBdr>
        <w:top w:val="none" w:sz="0" w:space="0" w:color="auto"/>
        <w:left w:val="none" w:sz="0" w:space="0" w:color="auto"/>
        <w:bottom w:val="none" w:sz="0" w:space="0" w:color="auto"/>
        <w:right w:val="none" w:sz="0" w:space="0" w:color="auto"/>
      </w:divBdr>
    </w:div>
    <w:div w:id="1262495561">
      <w:bodyDiv w:val="1"/>
      <w:marLeft w:val="0"/>
      <w:marRight w:val="0"/>
      <w:marTop w:val="0"/>
      <w:marBottom w:val="0"/>
      <w:divBdr>
        <w:top w:val="none" w:sz="0" w:space="0" w:color="auto"/>
        <w:left w:val="none" w:sz="0" w:space="0" w:color="auto"/>
        <w:bottom w:val="none" w:sz="0" w:space="0" w:color="auto"/>
        <w:right w:val="none" w:sz="0" w:space="0" w:color="auto"/>
      </w:divBdr>
      <w:divsChild>
        <w:div w:id="1589534498">
          <w:marLeft w:val="274"/>
          <w:marRight w:val="0"/>
          <w:marTop w:val="180"/>
          <w:marBottom w:val="60"/>
          <w:divBdr>
            <w:top w:val="none" w:sz="0" w:space="0" w:color="auto"/>
            <w:left w:val="none" w:sz="0" w:space="0" w:color="auto"/>
            <w:bottom w:val="none" w:sz="0" w:space="0" w:color="auto"/>
            <w:right w:val="none" w:sz="0" w:space="0" w:color="auto"/>
          </w:divBdr>
        </w:div>
      </w:divsChild>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58015215">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684814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4768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4419</TotalTime>
  <Pages>3</Pages>
  <Words>1064</Words>
  <Characters>6331</Characters>
  <Application>Microsoft Office Word</Application>
  <DocSecurity>0</DocSecurity>
  <Lines>211</Lines>
  <Paragraphs>180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1152</cp:revision>
  <dcterms:created xsi:type="dcterms:W3CDTF">2024-03-19T10:25:00Z</dcterms:created>
  <dcterms:modified xsi:type="dcterms:W3CDTF">2026-01-30T11:43:00Z</dcterms:modified>
</cp:coreProperties>
</file>